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58F3" w14:textId="77777777" w:rsidR="00B750EA" w:rsidRDefault="00B750EA" w:rsidP="00371105">
      <w:pPr>
        <w:spacing w:after="0" w:line="276" w:lineRule="auto"/>
        <w:rPr>
          <w:rFonts w:ascii="Calibri" w:hAnsi="Calibri" w:cs="Calibri"/>
          <w:b/>
          <w:color w:val="003741" w:themeColor="text1"/>
          <w:sz w:val="32"/>
          <w:szCs w:val="32"/>
          <w:lang w:val="en-US"/>
        </w:rPr>
      </w:pPr>
    </w:p>
    <w:p w14:paraId="1C2004AA" w14:textId="77777777" w:rsidR="00B750EA" w:rsidRDefault="00B750EA" w:rsidP="00371105">
      <w:pPr>
        <w:spacing w:after="0" w:line="276" w:lineRule="auto"/>
        <w:rPr>
          <w:rFonts w:ascii="Calibri" w:hAnsi="Calibri" w:cs="Calibri"/>
          <w:b/>
          <w:color w:val="003741" w:themeColor="text1"/>
          <w:sz w:val="32"/>
          <w:szCs w:val="32"/>
          <w:lang w:val="en-US"/>
        </w:rPr>
      </w:pPr>
    </w:p>
    <w:p w14:paraId="5862B954" w14:textId="77777777" w:rsidR="00B750EA" w:rsidRPr="00B750EA" w:rsidRDefault="00B750EA" w:rsidP="00371105">
      <w:pPr>
        <w:spacing w:after="0" w:line="276" w:lineRule="auto"/>
        <w:rPr>
          <w:rFonts w:ascii="Calibri" w:hAnsi="Calibri" w:cs="Calibri"/>
          <w:b/>
          <w:color w:val="003741" w:themeColor="text1"/>
          <w:sz w:val="32"/>
          <w:szCs w:val="32"/>
          <w:lang w:val="en-US"/>
        </w:rPr>
      </w:pPr>
    </w:p>
    <w:p w14:paraId="3532F7B5" w14:textId="77777777" w:rsidR="00B750EA" w:rsidRPr="00B750EA" w:rsidRDefault="00B750EA" w:rsidP="00371105">
      <w:pPr>
        <w:spacing w:after="0" w:line="276" w:lineRule="auto"/>
        <w:rPr>
          <w:rFonts w:ascii="Calibri" w:hAnsi="Calibri" w:cs="Calibri"/>
          <w:b/>
          <w:color w:val="003741" w:themeColor="text1"/>
          <w:sz w:val="32"/>
          <w:szCs w:val="32"/>
          <w:lang w:val="en-US"/>
        </w:rPr>
      </w:pPr>
    </w:p>
    <w:p w14:paraId="1299E3F3" w14:textId="77777777" w:rsidR="00B750EA" w:rsidRPr="00B750EA" w:rsidRDefault="00B750EA" w:rsidP="00371105">
      <w:pPr>
        <w:spacing w:after="0" w:line="276" w:lineRule="auto"/>
        <w:rPr>
          <w:rFonts w:ascii="Calibri" w:hAnsi="Calibri" w:cs="Calibri"/>
          <w:b/>
          <w:color w:val="003741" w:themeColor="text1"/>
          <w:sz w:val="32"/>
          <w:szCs w:val="32"/>
          <w:lang w:val="en-US"/>
        </w:rPr>
      </w:pPr>
    </w:p>
    <w:p w14:paraId="61C2D67C" w14:textId="7F559DF6" w:rsidR="00B750EA" w:rsidRPr="00B750EA" w:rsidRDefault="00B750EA" w:rsidP="00371105">
      <w:pPr>
        <w:spacing w:after="0" w:line="276" w:lineRule="auto"/>
        <w:rPr>
          <w:rFonts w:ascii="Calibri" w:hAnsi="Calibri" w:cs="Calibri"/>
          <w:b/>
          <w:color w:val="003741" w:themeColor="text1"/>
          <w:sz w:val="32"/>
          <w:szCs w:val="32"/>
          <w:lang w:val="en-US"/>
        </w:rPr>
      </w:pPr>
      <w:r w:rsidRPr="00B750EA">
        <w:rPr>
          <w:rFonts w:ascii="Calibri" w:hAnsi="Calibri" w:cs="Calibri"/>
          <w:b/>
          <w:color w:val="003741" w:themeColor="text1"/>
          <w:sz w:val="32"/>
          <w:szCs w:val="32"/>
          <w:lang w:val="en-US"/>
        </w:rPr>
        <w:t xml:space="preserve">Terms of Reference: </w:t>
      </w:r>
    </w:p>
    <w:p w14:paraId="0AAB3B93" w14:textId="12D154A2" w:rsidR="00B750EA" w:rsidRPr="00B750EA" w:rsidRDefault="00B750EA" w:rsidP="00371105">
      <w:pPr>
        <w:pStyle w:val="mellemrubrik"/>
        <w:spacing w:after="0" w:line="276" w:lineRule="auto"/>
        <w:rPr>
          <w:rFonts w:ascii="Calibri" w:hAnsi="Calibri" w:cs="Calibri"/>
          <w:color w:val="003741" w:themeColor="text1"/>
          <w:sz w:val="64"/>
          <w:szCs w:val="64"/>
          <w:lang w:val="en-US"/>
        </w:rPr>
      </w:pPr>
      <w:r w:rsidRPr="00B750EA">
        <w:rPr>
          <w:rFonts w:ascii="Calibri" w:hAnsi="Calibri" w:cs="Calibri"/>
          <w:color w:val="003741" w:themeColor="text1"/>
          <w:sz w:val="64"/>
          <w:szCs w:val="64"/>
          <w:lang w:val="en-US"/>
        </w:rPr>
        <w:t xml:space="preserve">Grand Solutions Committee for </w:t>
      </w:r>
    </w:p>
    <w:p w14:paraId="661938C9" w14:textId="619B5264" w:rsidR="00B750EA" w:rsidRPr="00B750EA" w:rsidRDefault="00B750EA" w:rsidP="00371105">
      <w:pPr>
        <w:pStyle w:val="mellemrubrik"/>
        <w:spacing w:after="0" w:line="276" w:lineRule="auto"/>
        <w:rPr>
          <w:rFonts w:ascii="Calibri" w:hAnsi="Calibri" w:cs="Calibri"/>
          <w:color w:val="003741" w:themeColor="text1"/>
          <w:lang w:val="en-US"/>
        </w:rPr>
      </w:pPr>
      <w:r w:rsidRPr="00B750EA">
        <w:rPr>
          <w:rFonts w:ascii="Calibri" w:hAnsi="Calibri" w:cs="Calibri"/>
          <w:color w:val="003741" w:themeColor="text1"/>
          <w:sz w:val="64"/>
          <w:szCs w:val="64"/>
          <w:lang w:val="en-US"/>
        </w:rPr>
        <w:t xml:space="preserve">Quantum Technology </w:t>
      </w:r>
    </w:p>
    <w:p w14:paraId="70A474AC" w14:textId="77777777" w:rsidR="00B750EA" w:rsidRPr="00B750EA" w:rsidRDefault="00B750EA" w:rsidP="00371105">
      <w:pPr>
        <w:pStyle w:val="mellemrubrik"/>
        <w:spacing w:after="0" w:line="276" w:lineRule="auto"/>
        <w:rPr>
          <w:rFonts w:ascii="Calibri" w:hAnsi="Calibri" w:cs="Calibri"/>
          <w:color w:val="003741" w:themeColor="text1"/>
          <w:lang w:val="en-US"/>
        </w:rPr>
      </w:pPr>
    </w:p>
    <w:p w14:paraId="701CDBC6" w14:textId="77777777" w:rsidR="00B750EA" w:rsidRPr="00B750EA" w:rsidRDefault="00B750EA" w:rsidP="00371105">
      <w:pPr>
        <w:pStyle w:val="mellemrubrik"/>
        <w:spacing w:after="0" w:line="276" w:lineRule="auto"/>
        <w:rPr>
          <w:rFonts w:ascii="Calibri" w:hAnsi="Calibri" w:cs="Calibri"/>
          <w:color w:val="003741" w:themeColor="text1"/>
          <w:lang w:val="en-US"/>
        </w:rPr>
      </w:pPr>
    </w:p>
    <w:p w14:paraId="1E282D59" w14:textId="77777777" w:rsidR="00B750EA" w:rsidRPr="00B750EA" w:rsidRDefault="00B750EA" w:rsidP="00371105">
      <w:pPr>
        <w:pStyle w:val="mellemrubrik"/>
        <w:spacing w:after="0" w:line="276" w:lineRule="auto"/>
        <w:rPr>
          <w:rFonts w:ascii="Calibri" w:hAnsi="Calibri" w:cs="Calibri"/>
          <w:color w:val="003741" w:themeColor="text1"/>
          <w:lang w:val="en-US"/>
        </w:rPr>
      </w:pPr>
    </w:p>
    <w:p w14:paraId="066070E6" w14:textId="3CF14197" w:rsidR="00B750EA" w:rsidRDefault="00B750EA" w:rsidP="00371105">
      <w:pPr>
        <w:pStyle w:val="mellemrubrik"/>
        <w:spacing w:after="0" w:line="276" w:lineRule="auto"/>
        <w:rPr>
          <w:rFonts w:ascii="Calibri" w:hAnsi="Calibri" w:cs="Calibri"/>
          <w:color w:val="003741" w:themeColor="text1"/>
          <w:lang w:val="en-US"/>
        </w:rPr>
      </w:pPr>
    </w:p>
    <w:p w14:paraId="0E6E0770" w14:textId="77777777" w:rsidR="007F0CD1" w:rsidRPr="00B750EA" w:rsidRDefault="007F0CD1" w:rsidP="00371105">
      <w:pPr>
        <w:pStyle w:val="mellemrubrik"/>
        <w:spacing w:after="0" w:line="276" w:lineRule="auto"/>
        <w:rPr>
          <w:rFonts w:ascii="Calibri" w:hAnsi="Calibri" w:cs="Calibri"/>
          <w:color w:val="003741" w:themeColor="text1"/>
          <w:lang w:val="en-US"/>
        </w:rPr>
      </w:pPr>
    </w:p>
    <w:p w14:paraId="3CD7D88F" w14:textId="77777777" w:rsidR="00B750EA" w:rsidRPr="00B750EA" w:rsidRDefault="00B750EA" w:rsidP="00371105">
      <w:pPr>
        <w:pStyle w:val="mellemrubrik"/>
        <w:spacing w:after="0" w:line="276" w:lineRule="auto"/>
        <w:rPr>
          <w:rFonts w:ascii="Calibri" w:hAnsi="Calibri" w:cs="Calibri"/>
          <w:color w:val="003741" w:themeColor="text1"/>
          <w:lang w:val="en-US"/>
        </w:rPr>
      </w:pPr>
    </w:p>
    <w:p w14:paraId="3F9BB7D9" w14:textId="77777777" w:rsidR="00B750EA" w:rsidRPr="00B750EA" w:rsidRDefault="00B750EA" w:rsidP="00371105">
      <w:pPr>
        <w:pStyle w:val="mellemrubrik"/>
        <w:spacing w:after="0" w:line="276" w:lineRule="auto"/>
        <w:rPr>
          <w:rFonts w:ascii="Calibri" w:hAnsi="Calibri" w:cs="Calibri"/>
          <w:color w:val="003741" w:themeColor="text1"/>
          <w:lang w:val="en-US"/>
        </w:rPr>
      </w:pPr>
    </w:p>
    <w:p w14:paraId="53E8C7C3" w14:textId="77777777" w:rsidR="00B750EA" w:rsidRPr="00B750EA" w:rsidRDefault="00B750EA" w:rsidP="00371105">
      <w:pPr>
        <w:pStyle w:val="mellemrubrik"/>
        <w:spacing w:after="0" w:line="276" w:lineRule="auto"/>
        <w:rPr>
          <w:rFonts w:ascii="Calibri" w:hAnsi="Calibri" w:cs="Calibri"/>
          <w:color w:val="003741" w:themeColor="text1"/>
          <w:lang w:val="en-US"/>
        </w:rPr>
      </w:pPr>
    </w:p>
    <w:p w14:paraId="24446C11" w14:textId="77777777" w:rsidR="00B750EA" w:rsidRPr="00B750EA" w:rsidRDefault="00B750EA" w:rsidP="00371105">
      <w:pPr>
        <w:pStyle w:val="mellemrubrik"/>
        <w:spacing w:after="0" w:line="276" w:lineRule="auto"/>
        <w:rPr>
          <w:rFonts w:ascii="Calibri" w:hAnsi="Calibri" w:cs="Calibri"/>
          <w:color w:val="003741" w:themeColor="text1"/>
          <w:lang w:val="en-US"/>
        </w:rPr>
      </w:pPr>
    </w:p>
    <w:p w14:paraId="6FF2950D" w14:textId="77777777" w:rsidR="00B750EA" w:rsidRPr="00B750EA" w:rsidRDefault="00B750EA" w:rsidP="00371105">
      <w:pPr>
        <w:pStyle w:val="mellemrubrik"/>
        <w:spacing w:after="0" w:line="276" w:lineRule="auto"/>
        <w:rPr>
          <w:rFonts w:ascii="Calibri" w:hAnsi="Calibri" w:cs="Calibri"/>
          <w:color w:val="003741" w:themeColor="text1"/>
          <w:lang w:val="en-US"/>
        </w:rPr>
      </w:pPr>
    </w:p>
    <w:p w14:paraId="484CFB80" w14:textId="77777777" w:rsidR="00B750EA" w:rsidRPr="00B750EA" w:rsidRDefault="00B750EA" w:rsidP="00371105">
      <w:pPr>
        <w:pStyle w:val="mellemrubrik"/>
        <w:spacing w:after="0" w:line="276" w:lineRule="auto"/>
        <w:rPr>
          <w:rFonts w:ascii="Calibri" w:hAnsi="Calibri" w:cs="Calibri"/>
          <w:color w:val="003741" w:themeColor="text1"/>
          <w:lang w:val="en-US"/>
        </w:rPr>
      </w:pPr>
    </w:p>
    <w:p w14:paraId="1DA51AF2" w14:textId="77777777" w:rsidR="00B750EA" w:rsidRPr="00B750EA" w:rsidRDefault="00B750EA" w:rsidP="00371105">
      <w:pPr>
        <w:pStyle w:val="mellemrubrik"/>
        <w:spacing w:after="0" w:line="276" w:lineRule="auto"/>
        <w:rPr>
          <w:rFonts w:ascii="Calibri" w:hAnsi="Calibri" w:cs="Calibri"/>
          <w:color w:val="003741" w:themeColor="text1"/>
          <w:lang w:val="en-US"/>
        </w:rPr>
      </w:pPr>
    </w:p>
    <w:p w14:paraId="62077E11" w14:textId="77777777" w:rsidR="00B750EA" w:rsidRPr="00D07B1C" w:rsidRDefault="00B750EA" w:rsidP="00371105">
      <w:pPr>
        <w:pStyle w:val="mellemrubrik"/>
        <w:spacing w:after="0" w:line="276" w:lineRule="auto"/>
        <w:rPr>
          <w:rFonts w:ascii="Calibri" w:hAnsi="Calibri" w:cs="Calibri"/>
          <w:color w:val="003741" w:themeColor="text1"/>
          <w:lang w:val="en-US"/>
        </w:rPr>
      </w:pPr>
    </w:p>
    <w:p w14:paraId="547C4F4E" w14:textId="77777777" w:rsidR="00B750EA" w:rsidRPr="00D07B1C" w:rsidRDefault="00B750EA" w:rsidP="00371105">
      <w:pPr>
        <w:pStyle w:val="mellemrubrik"/>
        <w:spacing w:after="0" w:line="276" w:lineRule="auto"/>
        <w:rPr>
          <w:rFonts w:ascii="Calibri" w:hAnsi="Calibri" w:cs="Calibri"/>
          <w:color w:val="003741" w:themeColor="text1"/>
          <w:lang w:val="en-US"/>
        </w:rPr>
      </w:pPr>
    </w:p>
    <w:p w14:paraId="3FFB4A36" w14:textId="4F1F1CFC" w:rsidR="00B750EA" w:rsidRPr="00D07B1C" w:rsidRDefault="00B750EA" w:rsidP="00371105">
      <w:pPr>
        <w:pStyle w:val="mellemrubrik"/>
        <w:spacing w:after="0" w:line="276" w:lineRule="auto"/>
        <w:rPr>
          <w:rFonts w:ascii="Calibri" w:hAnsi="Calibri" w:cs="Calibri"/>
          <w:color w:val="003741" w:themeColor="text1"/>
          <w:lang w:val="en-US"/>
        </w:rPr>
      </w:pPr>
      <w:r w:rsidRPr="00D07B1C">
        <w:rPr>
          <w:rFonts w:ascii="Calibri" w:hAnsi="Calibri" w:cs="Calibri"/>
          <w:color w:val="003741" w:themeColor="text1"/>
          <w:lang w:val="en-US"/>
        </w:rPr>
        <w:t>Effective date:</w:t>
      </w:r>
    </w:p>
    <w:p w14:paraId="42F1C2CB" w14:textId="424954BC" w:rsidR="00B750EA" w:rsidRPr="00371105" w:rsidRDefault="00B750EA" w:rsidP="00371105">
      <w:pPr>
        <w:spacing w:line="276" w:lineRule="auto"/>
        <w:rPr>
          <w:rFonts w:ascii="Calibri" w:hAnsi="Calibri" w:cs="Calibri"/>
          <w:color w:val="003741" w:themeColor="text1"/>
          <w:lang w:val="en-US"/>
        </w:rPr>
      </w:pPr>
      <w:r w:rsidRPr="00D07B1C">
        <w:rPr>
          <w:rFonts w:ascii="Calibri" w:hAnsi="Calibri" w:cs="Calibri"/>
          <w:color w:val="003741" w:themeColor="text1"/>
          <w:lang w:val="en-US"/>
        </w:rPr>
        <w:t xml:space="preserve">26. </w:t>
      </w:r>
      <w:r w:rsidR="00371105" w:rsidRPr="00D07B1C">
        <w:rPr>
          <w:rFonts w:ascii="Calibri" w:hAnsi="Calibri" w:cs="Calibri"/>
          <w:color w:val="003741" w:themeColor="text1"/>
          <w:lang w:val="en-US"/>
        </w:rPr>
        <w:t>Februar</w:t>
      </w:r>
      <w:r w:rsidR="00371105">
        <w:rPr>
          <w:rFonts w:ascii="Calibri" w:hAnsi="Calibri" w:cs="Calibri"/>
          <w:color w:val="003741" w:themeColor="text1"/>
          <w:lang w:val="en-US"/>
        </w:rPr>
        <w:t>y</w:t>
      </w:r>
      <w:r w:rsidRPr="00D07B1C">
        <w:rPr>
          <w:rFonts w:ascii="Calibri" w:hAnsi="Calibri" w:cs="Calibri"/>
          <w:color w:val="003741" w:themeColor="text1"/>
          <w:lang w:val="en-US"/>
        </w:rPr>
        <w:t xml:space="preserve"> 2026</w:t>
      </w:r>
      <w:r w:rsidR="00371105">
        <w:rPr>
          <w:rFonts w:ascii="Calibri" w:hAnsi="Calibri" w:cs="Calibri"/>
          <w:color w:val="003741" w:themeColor="text1"/>
          <w:lang w:val="en-US"/>
        </w:rPr>
        <w:br/>
      </w:r>
      <w:r w:rsidR="00371105">
        <w:rPr>
          <w:rFonts w:ascii="Calibri" w:hAnsi="Calibri" w:cs="Calibri"/>
          <w:color w:val="003741" w:themeColor="text1"/>
          <w:lang w:val="en-US"/>
        </w:rPr>
        <w:br/>
      </w:r>
      <w:r w:rsidR="00371105">
        <w:rPr>
          <w:rFonts w:ascii="Calibri" w:hAnsi="Calibri" w:cs="Calibri"/>
          <w:color w:val="003741" w:themeColor="text1"/>
          <w:sz w:val="20"/>
          <w:szCs w:val="20"/>
          <w:lang w:val="en-US"/>
        </w:rPr>
        <w:br/>
      </w:r>
      <w:r w:rsidRPr="00D07B1C">
        <w:rPr>
          <w:rFonts w:ascii="Calibri" w:hAnsi="Calibri" w:cs="Calibri"/>
          <w:color w:val="003741" w:themeColor="text1"/>
          <w:sz w:val="20"/>
          <w:szCs w:val="20"/>
          <w:lang w:val="en-US"/>
        </w:rPr>
        <w:t>In case of any uncertainties or differences between the English and the Danish versions of these Terms of Reference, the Danish version takes precedence over the English version.</w:t>
      </w:r>
    </w:p>
    <w:p w14:paraId="719634E7" w14:textId="77777777" w:rsidR="00B750EA" w:rsidRDefault="00B750EA" w:rsidP="00371105">
      <w:pPr>
        <w:spacing w:after="0" w:line="276" w:lineRule="auto"/>
        <w:rPr>
          <w:rFonts w:ascii="Calibri" w:hAnsi="Calibri" w:cs="Calibri"/>
          <w:color w:val="003741" w:themeColor="text1"/>
          <w:sz w:val="20"/>
          <w:szCs w:val="20"/>
          <w:lang w:val="en-US"/>
        </w:rPr>
      </w:pPr>
      <w:r>
        <w:rPr>
          <w:rFonts w:ascii="Calibri" w:hAnsi="Calibri" w:cs="Calibri"/>
          <w:color w:val="003741" w:themeColor="text1"/>
          <w:sz w:val="20"/>
          <w:szCs w:val="20"/>
          <w:lang w:val="en-US"/>
        </w:rPr>
        <w:br w:type="page"/>
      </w:r>
    </w:p>
    <w:p w14:paraId="0972BB6A" w14:textId="77777777" w:rsidR="00F74BC4" w:rsidRPr="00D07B1C" w:rsidRDefault="00F74BC4" w:rsidP="00F74BC4">
      <w:pPr>
        <w:spacing w:line="276" w:lineRule="auto"/>
        <w:rPr>
          <w:rFonts w:ascii="Calibri" w:hAnsi="Calibri" w:cs="Calibri"/>
          <w:b/>
          <w:bCs/>
          <w:color w:val="003741" w:themeColor="text1"/>
          <w:sz w:val="24"/>
          <w:szCs w:val="24"/>
          <w:lang w:val="en-GB"/>
        </w:rPr>
      </w:pPr>
      <w:r w:rsidRPr="00D07B1C">
        <w:rPr>
          <w:rFonts w:ascii="Calibri" w:hAnsi="Calibri" w:cs="Calibri"/>
          <w:b/>
          <w:bCs/>
          <w:color w:val="003741" w:themeColor="text1"/>
          <w:sz w:val="24"/>
          <w:szCs w:val="24"/>
          <w:lang w:val="en-GB"/>
        </w:rPr>
        <w:lastRenderedPageBreak/>
        <w:t>Terms of Reference for the Grand Solutions Committee for Quantum Technology</w:t>
      </w:r>
    </w:p>
    <w:p w14:paraId="7072EE31" w14:textId="77777777" w:rsidR="002C163D" w:rsidRPr="00454DA9" w:rsidRDefault="002C163D" w:rsidP="002C163D">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 central part of the activities of Innovation Fund Denmark (hereinafter “the Fund”) is to ensure that, in connection with decisions on investments in projects, the Fund has access to relevant professional competencies and resources. The Grand Solutions programme is characterised by ambitious and interdisciplinary research and innovation projects with the potential to create significant impact and new solutions to important politically prioritised societal challenges. The Fund therefore wishes applications to the programme to be assessed and decided upon by both individuals who can evaluate the commercial and societal impact for Denmark, and internationally recognised researchers who can assess the scientific quality at an international level.</w:t>
      </w:r>
    </w:p>
    <w:p w14:paraId="0428C251" w14:textId="77777777" w:rsidR="002C163D" w:rsidRPr="00454DA9" w:rsidRDefault="002C163D" w:rsidP="002C163D">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As the need for professional competencies may vary depending on, for example, the framework of current appropriation acts, the Board’s priorities, and the applications received, there is a need to dynamically establish and adapt committees that possess the most relevant expertise within the domains related to the politically defined themes under which the Grand Solutions programme allocates funding.</w:t>
      </w:r>
    </w:p>
    <w:p w14:paraId="3F18E8A4" w14:textId="432CBA46" w:rsidR="00F74BC4" w:rsidRPr="00F74BC4" w:rsidRDefault="00D07B1C" w:rsidP="00F74BC4">
      <w:pPr>
        <w:spacing w:line="276" w:lineRule="auto"/>
        <w:rPr>
          <w:rFonts w:ascii="Calibri" w:hAnsi="Calibri" w:cs="Calibri"/>
          <w:color w:val="003741" w:themeColor="text1"/>
          <w:sz w:val="20"/>
          <w:szCs w:val="20"/>
          <w:lang w:val="en-GB"/>
        </w:rPr>
      </w:pPr>
      <w:r>
        <w:rPr>
          <w:rFonts w:ascii="Calibri" w:hAnsi="Calibri" w:cs="Calibri"/>
          <w:color w:val="003741" w:themeColor="text1"/>
          <w:sz w:val="20"/>
          <w:szCs w:val="20"/>
          <w:lang w:val="en-GB"/>
        </w:rPr>
        <w:t>In accordance with</w:t>
      </w:r>
      <w:r w:rsidR="00F74BC4" w:rsidRPr="00F74BC4">
        <w:rPr>
          <w:rFonts w:ascii="Calibri" w:hAnsi="Calibri" w:cs="Calibri"/>
          <w:color w:val="003741" w:themeColor="text1"/>
          <w:sz w:val="20"/>
          <w:szCs w:val="20"/>
          <w:lang w:val="en-GB"/>
        </w:rPr>
        <w:t xml:space="preserve"> Section 12 of the Act on Innovation Fund Denmark, cf. Consolidation Act No. 156 of 13 February 2025 (hereinafter “the Act”), the Board of the Fund establishes a committee tasked with conducting professional evaluations and making funding decisions in connection with the Fund’s </w:t>
      </w:r>
      <w:r w:rsidR="002C163D" w:rsidRPr="00454DA9">
        <w:rPr>
          <w:rFonts w:ascii="Calibri" w:hAnsi="Calibri" w:cs="Calibri"/>
          <w:color w:val="003741" w:themeColor="text1"/>
          <w:sz w:val="20"/>
          <w:szCs w:val="20"/>
          <w:lang w:val="en-GB"/>
        </w:rPr>
        <w:t>investments</w:t>
      </w:r>
      <w:r w:rsidR="002C163D">
        <w:rPr>
          <w:rStyle w:val="Fodnotehenvisning"/>
          <w:rFonts w:ascii="Calibri" w:hAnsi="Calibri" w:cs="Calibri"/>
          <w:color w:val="003741" w:themeColor="text1"/>
          <w:sz w:val="20"/>
          <w:szCs w:val="20"/>
          <w:lang w:val="en-GB"/>
        </w:rPr>
        <w:footnoteReference w:id="1"/>
      </w:r>
      <w:r w:rsidR="00F74BC4" w:rsidRPr="00F74BC4">
        <w:rPr>
          <w:rFonts w:ascii="Calibri" w:hAnsi="Calibri" w:cs="Calibri"/>
          <w:color w:val="003741" w:themeColor="text1"/>
          <w:sz w:val="20"/>
          <w:szCs w:val="20"/>
          <w:lang w:val="en-GB"/>
        </w:rPr>
        <w:t xml:space="preserve"> within areas related to “Quantum Technology” (hereinafter “the Themes”): the Grand Solutions Committee for Quantum Technology (hereinafter “the Committee”). The Themes are further defined in the relevant calls applicable to the Committee.</w:t>
      </w:r>
    </w:p>
    <w:p w14:paraId="09807527" w14:textId="77777777" w:rsidR="00F74BC4" w:rsidRPr="00F74BC4" w:rsidRDefault="00F74BC4" w:rsidP="00F74BC4">
      <w:pPr>
        <w:spacing w:line="276" w:lineRule="auto"/>
        <w:rPr>
          <w:rFonts w:ascii="Calibri" w:hAnsi="Calibri" w:cs="Calibri"/>
          <w:color w:val="003741" w:themeColor="text1"/>
          <w:sz w:val="20"/>
          <w:szCs w:val="20"/>
          <w:lang w:val="en-GB"/>
        </w:rPr>
      </w:pPr>
      <w:r w:rsidRPr="00F74BC4">
        <w:rPr>
          <w:rFonts w:ascii="Calibri" w:hAnsi="Calibri" w:cs="Calibri"/>
          <w:color w:val="003741" w:themeColor="text1"/>
          <w:sz w:val="20"/>
          <w:szCs w:val="20"/>
          <w:lang w:val="en-GB"/>
        </w:rPr>
        <w:t>The function of the Committee is to assess applications to the Grand Solutions programme within the Themes and decide which of these are to receive funding, cf. the process set out in the applicable guidelines for the Grand Solutions programme at any given time.</w:t>
      </w:r>
    </w:p>
    <w:p w14:paraId="4A3C568B" w14:textId="7BCB8BB6" w:rsidR="00F74BC4" w:rsidRPr="00F74BC4" w:rsidRDefault="00F22460" w:rsidP="00F74BC4">
      <w:pPr>
        <w:spacing w:line="276" w:lineRule="auto"/>
        <w:rPr>
          <w:rFonts w:ascii="Calibri" w:hAnsi="Calibri" w:cs="Calibri"/>
          <w:color w:val="003741" w:themeColor="text1"/>
          <w:sz w:val="20"/>
          <w:szCs w:val="20"/>
          <w:lang w:val="en-GB"/>
        </w:rPr>
      </w:pPr>
      <w:r w:rsidRPr="00F22460">
        <w:rPr>
          <w:rFonts w:ascii="Calibri" w:hAnsi="Calibri" w:cs="Calibri"/>
          <w:color w:val="003741" w:themeColor="text1"/>
          <w:sz w:val="20"/>
          <w:szCs w:val="20"/>
          <w:lang w:val="en-GB"/>
        </w:rPr>
        <w:t xml:space="preserve">The Committee consists of 8–18 members, depending on the scope of the Themes and the expected volume of applications. </w:t>
      </w:r>
      <w:r w:rsidR="00F74BC4" w:rsidRPr="00F74BC4">
        <w:rPr>
          <w:rFonts w:ascii="Calibri" w:hAnsi="Calibri" w:cs="Calibri"/>
          <w:color w:val="003741" w:themeColor="text1"/>
          <w:sz w:val="20"/>
          <w:szCs w:val="20"/>
          <w:lang w:val="en-GB"/>
        </w:rPr>
        <w:t>A chair and a vice-chair (hereinafter “the Chairmanship”) are appointed.</w:t>
      </w:r>
    </w:p>
    <w:p w14:paraId="73EDBD96" w14:textId="77777777" w:rsidR="00F74BC4" w:rsidRPr="00F74BC4" w:rsidRDefault="00F74BC4" w:rsidP="00F74BC4">
      <w:pPr>
        <w:spacing w:line="276" w:lineRule="auto"/>
        <w:rPr>
          <w:rFonts w:ascii="Calibri" w:hAnsi="Calibri" w:cs="Calibri"/>
          <w:color w:val="003741" w:themeColor="text1"/>
          <w:sz w:val="20"/>
          <w:szCs w:val="20"/>
          <w:lang w:val="en-GB"/>
        </w:rPr>
      </w:pPr>
      <w:r w:rsidRPr="00F74BC4">
        <w:rPr>
          <w:rFonts w:ascii="Calibri" w:hAnsi="Calibri" w:cs="Calibri"/>
          <w:color w:val="003741" w:themeColor="text1"/>
          <w:sz w:val="20"/>
          <w:szCs w:val="20"/>
          <w:lang w:val="en-GB"/>
        </w:rPr>
        <w:t>Members and the Chairmanship are appointed in their personal capacity and may not be represented by another person. No alternates are appointed.</w:t>
      </w:r>
    </w:p>
    <w:p w14:paraId="4590557C" w14:textId="77777777" w:rsidR="00F74BC4" w:rsidRPr="00F74BC4" w:rsidRDefault="00F74BC4" w:rsidP="00F74BC4">
      <w:pPr>
        <w:spacing w:line="276" w:lineRule="auto"/>
        <w:rPr>
          <w:rFonts w:ascii="Calibri" w:hAnsi="Calibri" w:cs="Calibri"/>
          <w:color w:val="003741" w:themeColor="text1"/>
          <w:sz w:val="20"/>
          <w:szCs w:val="20"/>
          <w:lang w:val="en-GB"/>
        </w:rPr>
      </w:pPr>
      <w:r w:rsidRPr="00F74BC4">
        <w:rPr>
          <w:rFonts w:ascii="Calibri" w:hAnsi="Calibri" w:cs="Calibri"/>
          <w:color w:val="003741" w:themeColor="text1"/>
          <w:sz w:val="20"/>
          <w:szCs w:val="20"/>
          <w:lang w:val="en-GB"/>
        </w:rPr>
        <w:t>Members, including the Chairmanship, may serve on multiple committees under the Fund’s programmes. However, members may not simultaneously serve on the Fund’s Board.</w:t>
      </w:r>
    </w:p>
    <w:p w14:paraId="36EACCAF" w14:textId="77777777" w:rsidR="00F74BC4" w:rsidRPr="00F74BC4" w:rsidRDefault="00F74BC4" w:rsidP="00371105">
      <w:pPr>
        <w:spacing w:line="276" w:lineRule="auto"/>
        <w:rPr>
          <w:rFonts w:ascii="Calibri" w:hAnsi="Calibri" w:cs="Calibri"/>
          <w:color w:val="003741" w:themeColor="text1"/>
          <w:sz w:val="20"/>
          <w:szCs w:val="20"/>
          <w:lang w:val="en-GB"/>
        </w:rPr>
      </w:pPr>
      <w:r w:rsidRPr="00F74BC4">
        <w:rPr>
          <w:rFonts w:ascii="Calibri" w:hAnsi="Calibri" w:cs="Calibri"/>
          <w:color w:val="003741" w:themeColor="text1"/>
          <w:sz w:val="20"/>
          <w:szCs w:val="20"/>
          <w:lang w:val="en-GB"/>
        </w:rPr>
        <w:t>The Board’s ongoing supervision of the Committee is carried out on its behalf by the Committee for Programme Oversight.</w:t>
      </w:r>
    </w:p>
    <w:p w14:paraId="58C1F645" w14:textId="77777777" w:rsidR="00371105" w:rsidRPr="002C163D" w:rsidRDefault="00F74BC4" w:rsidP="002C163D">
      <w:pPr>
        <w:pStyle w:val="Overskrift2"/>
      </w:pPr>
      <w:r w:rsidRPr="002C163D">
        <w:t>Process and criteria for appointment of chair and members</w:t>
      </w:r>
    </w:p>
    <w:p w14:paraId="4D798A97" w14:textId="0A076532" w:rsidR="00F74BC4" w:rsidRPr="00371105" w:rsidRDefault="00F74BC4" w:rsidP="00371105">
      <w:pPr>
        <w:spacing w:line="276" w:lineRule="auto"/>
        <w:rPr>
          <w:rFonts w:ascii="Calibri" w:hAnsi="Calibri" w:cs="Calibri"/>
          <w:color w:val="003741" w:themeColor="text1"/>
          <w:szCs w:val="24"/>
          <w:lang w:val="en-GB"/>
        </w:rPr>
      </w:pPr>
      <w:r w:rsidRPr="00371105">
        <w:rPr>
          <w:rFonts w:ascii="Calibri" w:hAnsi="Calibri" w:cs="Calibri"/>
          <w:color w:val="003741" w:themeColor="text1"/>
          <w:sz w:val="20"/>
          <w:szCs w:val="20"/>
          <w:lang w:val="en-GB"/>
        </w:rPr>
        <w:t>The Committee is composed such that the members’ competencies reflect the Committee’s professional and functional tasks. Collectively, the members must possess the competencies necessary to assess the quality, impact, and relevance of applications, including research activities, as described in the annual calls and the submitted applications. At least half of the members must therefore meet the requirements for recognized researchers, cf. Section 18(2) of the Act.</w:t>
      </w:r>
    </w:p>
    <w:p w14:paraId="69212764" w14:textId="25F2F4A9" w:rsidR="00F74BC4" w:rsidRPr="00F74BC4" w:rsidRDefault="00F74BC4" w:rsidP="00F74BC4">
      <w:pPr>
        <w:spacing w:line="276" w:lineRule="auto"/>
        <w:rPr>
          <w:rFonts w:ascii="Calibri" w:hAnsi="Calibri" w:cs="Calibri"/>
          <w:color w:val="003741" w:themeColor="text1"/>
          <w:sz w:val="20"/>
          <w:szCs w:val="20"/>
          <w:lang w:val="en-GB"/>
        </w:rPr>
      </w:pPr>
      <w:r w:rsidRPr="00F74BC4">
        <w:rPr>
          <w:rFonts w:ascii="Calibri" w:hAnsi="Calibri" w:cs="Calibri"/>
          <w:color w:val="003741" w:themeColor="text1"/>
          <w:sz w:val="20"/>
          <w:szCs w:val="20"/>
          <w:lang w:val="en-GB"/>
        </w:rPr>
        <w:lastRenderedPageBreak/>
        <w:t>The Board appoints the members, including the Chairmanship, cf. Section 13(2) of the Act. The Committee for Programme Oversight may decide on appointments on behalf of the full Board. Upon appointment, members enter into a letter of appointment agreement with the Fund.</w:t>
      </w:r>
    </w:p>
    <w:p w14:paraId="37F10FB4" w14:textId="77777777" w:rsidR="00F74BC4" w:rsidRPr="00F74BC4" w:rsidRDefault="00F74BC4" w:rsidP="00F74BC4">
      <w:pPr>
        <w:spacing w:line="276" w:lineRule="auto"/>
        <w:rPr>
          <w:rFonts w:ascii="Calibri" w:hAnsi="Calibri" w:cs="Calibri"/>
          <w:color w:val="003741" w:themeColor="text1"/>
          <w:sz w:val="20"/>
          <w:szCs w:val="20"/>
          <w:lang w:val="en-GB"/>
        </w:rPr>
      </w:pPr>
      <w:r w:rsidRPr="00F74BC4">
        <w:rPr>
          <w:rFonts w:ascii="Calibri" w:hAnsi="Calibri" w:cs="Calibri"/>
          <w:color w:val="003741" w:themeColor="text1"/>
          <w:sz w:val="20"/>
          <w:szCs w:val="20"/>
          <w:lang w:val="en-GB"/>
        </w:rPr>
        <w:t>The Board and the Committee for Programme Oversight may dismiss members with the notice specified in the appointment agreement and may appoint new members at any time.</w:t>
      </w:r>
    </w:p>
    <w:p w14:paraId="573C0CDF" w14:textId="77777777" w:rsidR="002C163D" w:rsidRPr="002C163D" w:rsidRDefault="002C163D" w:rsidP="002C163D">
      <w:pPr>
        <w:spacing w:line="276" w:lineRule="auto"/>
        <w:rPr>
          <w:rFonts w:ascii="Calibri" w:hAnsi="Calibri" w:cs="Calibri"/>
          <w:color w:val="003741" w:themeColor="text1"/>
          <w:sz w:val="20"/>
          <w:szCs w:val="20"/>
          <w:lang w:val="en-GB"/>
        </w:rPr>
      </w:pPr>
      <w:r w:rsidRPr="002C163D">
        <w:rPr>
          <w:rFonts w:ascii="Calibri" w:hAnsi="Calibri" w:cs="Calibri"/>
          <w:color w:val="003741" w:themeColor="text1"/>
          <w:sz w:val="20"/>
          <w:szCs w:val="20"/>
          <w:lang w:val="en-GB"/>
        </w:rPr>
        <w:t>To be nominated and appointed, members must possess:</w:t>
      </w:r>
    </w:p>
    <w:p w14:paraId="378D17D2" w14:textId="06BB3710" w:rsidR="00F74BC4" w:rsidRPr="00F74BC4" w:rsidRDefault="00F74BC4" w:rsidP="00F74BC4">
      <w:pPr>
        <w:pStyle w:val="Listeafsnit"/>
        <w:numPr>
          <w:ilvl w:val="0"/>
          <w:numId w:val="16"/>
        </w:numPr>
        <w:spacing w:line="276" w:lineRule="auto"/>
        <w:rPr>
          <w:rFonts w:ascii="Calibri" w:hAnsi="Calibri" w:cs="Calibri"/>
          <w:color w:val="003741" w:themeColor="text1"/>
          <w:sz w:val="20"/>
          <w:szCs w:val="20"/>
          <w:lang w:val="en-GB"/>
        </w:rPr>
      </w:pPr>
      <w:r w:rsidRPr="00F74BC4">
        <w:rPr>
          <w:rFonts w:ascii="Calibri" w:hAnsi="Calibri" w:cs="Calibri"/>
          <w:color w:val="003741" w:themeColor="text1"/>
          <w:sz w:val="20"/>
          <w:szCs w:val="20"/>
          <w:lang w:val="en-GB"/>
        </w:rPr>
        <w:t>Solid and extensive knowledge and recent experience within one or more specific professional areas related to the Themes</w:t>
      </w:r>
    </w:p>
    <w:p w14:paraId="38141168" w14:textId="5F86202C" w:rsidR="00F74BC4" w:rsidRPr="00F74BC4" w:rsidRDefault="00F74BC4" w:rsidP="00F74BC4">
      <w:pPr>
        <w:pStyle w:val="Listeafsnit"/>
        <w:numPr>
          <w:ilvl w:val="0"/>
          <w:numId w:val="16"/>
        </w:numPr>
        <w:spacing w:line="276" w:lineRule="auto"/>
        <w:rPr>
          <w:rFonts w:ascii="Calibri" w:hAnsi="Calibri" w:cs="Calibri"/>
          <w:color w:val="003741" w:themeColor="text1"/>
          <w:sz w:val="20"/>
          <w:szCs w:val="20"/>
          <w:lang w:val="en-GB"/>
        </w:rPr>
      </w:pPr>
      <w:r w:rsidRPr="00F74BC4">
        <w:rPr>
          <w:rFonts w:ascii="Calibri" w:hAnsi="Calibri" w:cs="Calibri"/>
          <w:color w:val="003741" w:themeColor="text1"/>
          <w:sz w:val="20"/>
          <w:szCs w:val="20"/>
          <w:lang w:val="en-GB"/>
        </w:rPr>
        <w:t>High-level English proficiency, including technical terminology within the Themes</w:t>
      </w:r>
    </w:p>
    <w:p w14:paraId="310B366C" w14:textId="29480FC0" w:rsidR="00F74BC4" w:rsidRPr="00F74BC4" w:rsidRDefault="00F74BC4" w:rsidP="00F74BC4">
      <w:pPr>
        <w:spacing w:line="276" w:lineRule="auto"/>
        <w:rPr>
          <w:rFonts w:ascii="Calibri" w:hAnsi="Calibri" w:cs="Calibri"/>
          <w:color w:val="003741" w:themeColor="text1"/>
          <w:sz w:val="20"/>
          <w:szCs w:val="20"/>
          <w:lang w:val="en-GB"/>
        </w:rPr>
      </w:pPr>
      <w:r w:rsidRPr="00F74BC4">
        <w:rPr>
          <w:rFonts w:ascii="Calibri" w:hAnsi="Calibri" w:cs="Calibri"/>
          <w:color w:val="003741" w:themeColor="text1"/>
          <w:sz w:val="20"/>
          <w:szCs w:val="20"/>
          <w:lang w:val="en-GB"/>
        </w:rPr>
        <w:t>In addition, the member must either meet all of the following c</w:t>
      </w:r>
      <w:r w:rsidR="002C163D">
        <w:rPr>
          <w:rFonts w:ascii="Calibri" w:hAnsi="Calibri" w:cs="Calibri"/>
          <w:color w:val="003741" w:themeColor="text1"/>
          <w:sz w:val="20"/>
          <w:szCs w:val="20"/>
          <w:lang w:val="en-GB"/>
        </w:rPr>
        <w:t>riteria</w:t>
      </w:r>
      <w:r w:rsidRPr="00F74BC4">
        <w:rPr>
          <w:rFonts w:ascii="Calibri" w:hAnsi="Calibri" w:cs="Calibri"/>
          <w:color w:val="003741" w:themeColor="text1"/>
          <w:sz w:val="20"/>
          <w:szCs w:val="20"/>
          <w:lang w:val="en-GB"/>
        </w:rPr>
        <w:t>:</w:t>
      </w:r>
    </w:p>
    <w:p w14:paraId="03F53D3B" w14:textId="77777777" w:rsidR="00F74BC4" w:rsidRPr="00F74BC4" w:rsidRDefault="00F74BC4" w:rsidP="00F74BC4">
      <w:pPr>
        <w:pStyle w:val="Listeafsnit"/>
        <w:numPr>
          <w:ilvl w:val="0"/>
          <w:numId w:val="16"/>
        </w:numPr>
        <w:spacing w:line="276" w:lineRule="auto"/>
        <w:rPr>
          <w:rFonts w:ascii="Calibri" w:hAnsi="Calibri" w:cs="Calibri"/>
          <w:color w:val="003741" w:themeColor="text1"/>
          <w:sz w:val="20"/>
          <w:szCs w:val="20"/>
          <w:lang w:val="en-GB"/>
        </w:rPr>
      </w:pPr>
      <w:r w:rsidRPr="00F74BC4">
        <w:rPr>
          <w:rFonts w:ascii="Calibri" w:hAnsi="Calibri" w:cs="Calibri"/>
          <w:color w:val="003741" w:themeColor="text1"/>
          <w:sz w:val="20"/>
          <w:szCs w:val="20"/>
          <w:lang w:val="en-GB"/>
        </w:rPr>
        <w:t>Have been actively engaged in research at a scientific level for a number of years and be at least at associate professor or senior researcher level, thus meeting the requirements for a recognized researcher as described in Section 18(2) of the Act with reference to Section 2(1) of the Act on the Danish Council for Research and Innovation Policy and the Independent Research Fund Denmark</w:t>
      </w:r>
    </w:p>
    <w:p w14:paraId="2C3389FA" w14:textId="662065FB" w:rsidR="00F74BC4" w:rsidRPr="00F74BC4" w:rsidRDefault="00F74BC4" w:rsidP="00F74BC4">
      <w:pPr>
        <w:pStyle w:val="Listeafsnit"/>
        <w:numPr>
          <w:ilvl w:val="0"/>
          <w:numId w:val="16"/>
        </w:numPr>
        <w:spacing w:line="276" w:lineRule="auto"/>
        <w:rPr>
          <w:rFonts w:ascii="Calibri" w:hAnsi="Calibri" w:cs="Calibri"/>
          <w:color w:val="003741" w:themeColor="text1"/>
          <w:sz w:val="20"/>
          <w:szCs w:val="20"/>
          <w:lang w:val="en-GB"/>
        </w:rPr>
      </w:pPr>
      <w:r w:rsidRPr="00F74BC4">
        <w:rPr>
          <w:rFonts w:ascii="Calibri" w:hAnsi="Calibri" w:cs="Calibri"/>
          <w:color w:val="003741" w:themeColor="text1"/>
          <w:sz w:val="20"/>
          <w:szCs w:val="20"/>
          <w:lang w:val="en-GB"/>
        </w:rPr>
        <w:t>In this capacity, be or have recently been affiliated with a foreign research institution</w:t>
      </w:r>
    </w:p>
    <w:p w14:paraId="53D66115" w14:textId="77777777" w:rsidR="00F74BC4" w:rsidRPr="00F74BC4" w:rsidRDefault="00F74BC4" w:rsidP="00F74BC4">
      <w:pPr>
        <w:spacing w:line="276" w:lineRule="auto"/>
        <w:rPr>
          <w:rFonts w:ascii="Calibri" w:hAnsi="Calibri" w:cs="Calibri"/>
          <w:color w:val="003741" w:themeColor="text1"/>
          <w:sz w:val="20"/>
          <w:szCs w:val="20"/>
          <w:lang w:val="en-GB"/>
        </w:rPr>
      </w:pPr>
      <w:r w:rsidRPr="00F74BC4">
        <w:rPr>
          <w:rFonts w:ascii="Calibri" w:hAnsi="Calibri" w:cs="Calibri"/>
          <w:color w:val="003741" w:themeColor="text1"/>
          <w:sz w:val="20"/>
          <w:szCs w:val="20"/>
          <w:lang w:val="en-GB"/>
        </w:rPr>
        <w:t>or meet all of the following conditions:</w:t>
      </w:r>
    </w:p>
    <w:p w14:paraId="6BC81A4B" w14:textId="77777777" w:rsidR="00F74BC4" w:rsidRPr="00F74BC4" w:rsidRDefault="00F74BC4" w:rsidP="00F74BC4">
      <w:pPr>
        <w:pStyle w:val="Listeafsnit"/>
        <w:numPr>
          <w:ilvl w:val="0"/>
          <w:numId w:val="16"/>
        </w:numPr>
        <w:spacing w:line="276" w:lineRule="auto"/>
        <w:rPr>
          <w:rFonts w:ascii="Calibri" w:hAnsi="Calibri" w:cs="Calibri"/>
          <w:color w:val="003741" w:themeColor="text1"/>
          <w:sz w:val="20"/>
          <w:szCs w:val="20"/>
          <w:lang w:val="en-GB"/>
        </w:rPr>
      </w:pPr>
      <w:r w:rsidRPr="00F74BC4">
        <w:rPr>
          <w:rFonts w:ascii="Calibri" w:hAnsi="Calibri" w:cs="Calibri"/>
          <w:color w:val="003741" w:themeColor="text1"/>
          <w:sz w:val="20"/>
          <w:szCs w:val="20"/>
          <w:lang w:val="en-GB"/>
        </w:rPr>
        <w:t>Have significant experience in commercialization and implementation of research results from the private or public sector in Denmark and preferably internationally</w:t>
      </w:r>
    </w:p>
    <w:p w14:paraId="5DE1B251" w14:textId="77777777" w:rsidR="00F74BC4" w:rsidRPr="00F74BC4" w:rsidRDefault="00F74BC4" w:rsidP="00F74BC4">
      <w:pPr>
        <w:pStyle w:val="Listeafsnit"/>
        <w:numPr>
          <w:ilvl w:val="0"/>
          <w:numId w:val="16"/>
        </w:numPr>
        <w:spacing w:line="276" w:lineRule="auto"/>
        <w:rPr>
          <w:rFonts w:ascii="Calibri" w:hAnsi="Calibri" w:cs="Calibri"/>
          <w:color w:val="003741" w:themeColor="text1"/>
          <w:sz w:val="20"/>
          <w:szCs w:val="20"/>
          <w:lang w:val="en-GB"/>
        </w:rPr>
      </w:pPr>
      <w:r w:rsidRPr="00F74BC4">
        <w:rPr>
          <w:rFonts w:ascii="Calibri" w:hAnsi="Calibri" w:cs="Calibri"/>
          <w:color w:val="003741" w:themeColor="text1"/>
          <w:sz w:val="20"/>
          <w:szCs w:val="20"/>
          <w:lang w:val="en-GB"/>
        </w:rPr>
        <w:t>Be or have recently been employed in the private or public sector (but not actively employed at Danish universities beyond adjunct positions) within a domain relevant to the Themes</w:t>
      </w:r>
    </w:p>
    <w:p w14:paraId="4665054B" w14:textId="086D22EE" w:rsidR="00F74BC4" w:rsidRPr="00F74BC4" w:rsidRDefault="00F74BC4" w:rsidP="00F74BC4">
      <w:pPr>
        <w:pStyle w:val="Listeafsnit"/>
        <w:numPr>
          <w:ilvl w:val="0"/>
          <w:numId w:val="16"/>
        </w:numPr>
        <w:spacing w:line="276" w:lineRule="auto"/>
        <w:rPr>
          <w:rFonts w:ascii="Calibri" w:hAnsi="Calibri" w:cs="Calibri"/>
          <w:color w:val="003741" w:themeColor="text1"/>
          <w:sz w:val="20"/>
          <w:szCs w:val="20"/>
          <w:lang w:val="en-GB"/>
        </w:rPr>
      </w:pPr>
      <w:r w:rsidRPr="00F74BC4">
        <w:rPr>
          <w:rFonts w:ascii="Calibri" w:hAnsi="Calibri" w:cs="Calibri"/>
          <w:color w:val="003741" w:themeColor="text1"/>
          <w:sz w:val="20"/>
          <w:szCs w:val="20"/>
          <w:lang w:val="en-GB"/>
        </w:rPr>
        <w:t>Be able to assess the commercial and societal impact of project applications as well as their strategic relevance for Denmark</w:t>
      </w:r>
    </w:p>
    <w:p w14:paraId="69B82C85" w14:textId="77777777" w:rsidR="002C163D" w:rsidRPr="002C163D" w:rsidRDefault="002C163D" w:rsidP="002C163D">
      <w:pPr>
        <w:spacing w:line="276" w:lineRule="auto"/>
        <w:rPr>
          <w:rFonts w:ascii="Calibri" w:hAnsi="Calibri" w:cs="Calibri"/>
          <w:color w:val="003741" w:themeColor="text1"/>
          <w:sz w:val="20"/>
          <w:szCs w:val="20"/>
          <w:lang w:val="en-GB"/>
        </w:rPr>
      </w:pPr>
      <w:r w:rsidRPr="002C163D">
        <w:rPr>
          <w:rFonts w:ascii="Calibri" w:hAnsi="Calibri" w:cs="Calibri"/>
          <w:color w:val="003741" w:themeColor="text1"/>
          <w:sz w:val="20"/>
          <w:szCs w:val="20"/>
          <w:lang w:val="en-GB"/>
        </w:rPr>
        <w:t>At least half of the members must meet criteria III–IV. The Chair must meet criteria V–VII, while the Vice-Chair must meet criteria III–IV.</w:t>
      </w:r>
    </w:p>
    <w:p w14:paraId="5990E25A" w14:textId="77777777" w:rsidR="002C163D" w:rsidRPr="002C163D" w:rsidRDefault="002C163D" w:rsidP="002C163D">
      <w:pPr>
        <w:spacing w:line="276" w:lineRule="auto"/>
        <w:rPr>
          <w:rFonts w:ascii="Calibri" w:hAnsi="Calibri" w:cs="Calibri"/>
          <w:color w:val="003741" w:themeColor="text1"/>
          <w:sz w:val="20"/>
          <w:szCs w:val="20"/>
          <w:lang w:val="en-GB"/>
        </w:rPr>
      </w:pPr>
      <w:r w:rsidRPr="002C163D">
        <w:rPr>
          <w:rFonts w:ascii="Calibri" w:hAnsi="Calibri" w:cs="Calibri"/>
          <w:color w:val="003741" w:themeColor="text1"/>
          <w:sz w:val="20"/>
          <w:szCs w:val="20"/>
          <w:lang w:val="en-GB"/>
        </w:rPr>
        <w:t>The Committee is composed to ensure the necessary breadth of competencies across the domains characterising Grand Solutions applications within the Themes. It is also composed with attention to diversity, including sector back-ground, gender, and geographical affiliation.</w:t>
      </w:r>
    </w:p>
    <w:p w14:paraId="62AC7E12" w14:textId="77777777" w:rsidR="002C163D" w:rsidRDefault="002C163D" w:rsidP="002C163D">
      <w:pPr>
        <w:spacing w:line="276" w:lineRule="auto"/>
        <w:rPr>
          <w:rFonts w:ascii="Calibri" w:hAnsi="Calibri" w:cs="Calibri"/>
          <w:color w:val="003741" w:themeColor="text1"/>
          <w:sz w:val="20"/>
          <w:szCs w:val="20"/>
          <w:lang w:val="en-GB"/>
        </w:rPr>
      </w:pPr>
      <w:r w:rsidRPr="002C163D">
        <w:rPr>
          <w:rFonts w:ascii="Calibri" w:hAnsi="Calibri" w:cs="Calibri"/>
          <w:color w:val="003741" w:themeColor="text1"/>
          <w:sz w:val="20"/>
          <w:szCs w:val="20"/>
          <w:lang w:val="en-GB"/>
        </w:rPr>
        <w:t>The Fund maintains an updated list of Committee members on its website.</w:t>
      </w:r>
    </w:p>
    <w:p w14:paraId="3DE9D938" w14:textId="20072944" w:rsidR="00F74BC4" w:rsidRPr="002C163D" w:rsidRDefault="00F74BC4" w:rsidP="002C163D">
      <w:pPr>
        <w:pStyle w:val="Overskrift2"/>
      </w:pPr>
      <w:r w:rsidRPr="002C163D">
        <w:t>Term of appointment</w:t>
      </w:r>
    </w:p>
    <w:p w14:paraId="3F4900D8" w14:textId="77777777" w:rsidR="00F74BC4" w:rsidRPr="00F74BC4" w:rsidRDefault="00F74BC4" w:rsidP="00F74BC4">
      <w:pPr>
        <w:spacing w:line="276" w:lineRule="auto"/>
        <w:rPr>
          <w:rFonts w:ascii="Calibri" w:hAnsi="Calibri" w:cs="Calibri"/>
          <w:color w:val="003741" w:themeColor="text1"/>
          <w:sz w:val="20"/>
          <w:szCs w:val="20"/>
          <w:lang w:val="en-GB"/>
        </w:rPr>
      </w:pPr>
      <w:r w:rsidRPr="00F74BC4">
        <w:rPr>
          <w:rFonts w:ascii="Calibri" w:hAnsi="Calibri" w:cs="Calibri"/>
          <w:color w:val="003741" w:themeColor="text1"/>
          <w:sz w:val="20"/>
          <w:szCs w:val="20"/>
          <w:lang w:val="en-GB"/>
        </w:rPr>
        <w:t>The Committee is established as a standing committee and may be dissolved by the Board.</w:t>
      </w:r>
    </w:p>
    <w:p w14:paraId="470FD5E5" w14:textId="77777777" w:rsidR="00F74BC4" w:rsidRPr="00F74BC4" w:rsidRDefault="00F74BC4" w:rsidP="00F74BC4">
      <w:pPr>
        <w:spacing w:line="276" w:lineRule="auto"/>
        <w:rPr>
          <w:rFonts w:ascii="Calibri" w:hAnsi="Calibri" w:cs="Calibri"/>
          <w:color w:val="003741" w:themeColor="text1"/>
          <w:sz w:val="20"/>
          <w:szCs w:val="20"/>
          <w:lang w:val="en-GB"/>
        </w:rPr>
      </w:pPr>
      <w:r w:rsidRPr="00F74BC4">
        <w:rPr>
          <w:rFonts w:ascii="Calibri" w:hAnsi="Calibri" w:cs="Calibri"/>
          <w:color w:val="003741" w:themeColor="text1"/>
          <w:sz w:val="20"/>
          <w:szCs w:val="20"/>
          <w:lang w:val="en-GB"/>
        </w:rPr>
        <w:t>Members, including the Chairmanship, are appointed for up to three years. Reappointment is possible for a total of up to six years. After stepping down, reappointment may take place no earlier than three years later.</w:t>
      </w:r>
    </w:p>
    <w:p w14:paraId="4A8BC4AF" w14:textId="77777777" w:rsidR="00F74BC4" w:rsidRPr="00F74BC4" w:rsidRDefault="00F74BC4" w:rsidP="00F74BC4">
      <w:pPr>
        <w:spacing w:line="276" w:lineRule="auto"/>
        <w:rPr>
          <w:rFonts w:ascii="Calibri" w:hAnsi="Calibri" w:cs="Calibri"/>
          <w:color w:val="003741" w:themeColor="text1"/>
          <w:sz w:val="20"/>
          <w:szCs w:val="20"/>
          <w:lang w:val="en-GB"/>
        </w:rPr>
      </w:pPr>
      <w:r w:rsidRPr="00F74BC4">
        <w:rPr>
          <w:rFonts w:ascii="Calibri" w:hAnsi="Calibri" w:cs="Calibri"/>
          <w:color w:val="003741" w:themeColor="text1"/>
          <w:sz w:val="20"/>
          <w:szCs w:val="20"/>
          <w:lang w:val="en-GB"/>
        </w:rPr>
        <w:t>The Board may replace members on an ongoing basis to ensure the appropriate composition of competencies.</w:t>
      </w:r>
    </w:p>
    <w:p w14:paraId="7A0D95C3" w14:textId="2D7A2CF7" w:rsidR="00F74BC4" w:rsidRPr="002C163D" w:rsidRDefault="00F74BC4" w:rsidP="002C163D">
      <w:pPr>
        <w:pStyle w:val="Overskrift2"/>
      </w:pPr>
      <w:r w:rsidRPr="002C163D">
        <w:t>Tasks of the Committee</w:t>
      </w:r>
    </w:p>
    <w:p w14:paraId="6F1C0B86" w14:textId="77777777" w:rsidR="002C163D" w:rsidRPr="00454DA9" w:rsidRDefault="002C163D" w:rsidP="002C163D">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Each member contributes to the Committee’s assessments and decisions on applications through preparatory work and participation in meetings.</w:t>
      </w:r>
    </w:p>
    <w:p w14:paraId="21F30A98" w14:textId="77777777" w:rsidR="002C163D" w:rsidRPr="00454DA9" w:rsidRDefault="002C163D" w:rsidP="002C163D">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lastRenderedPageBreak/>
        <w:t>Members are responsible for:</w:t>
      </w:r>
    </w:p>
    <w:p w14:paraId="64997CD1" w14:textId="77777777" w:rsidR="002C163D" w:rsidRPr="00454DA9" w:rsidRDefault="002C163D" w:rsidP="002C163D">
      <w:pPr>
        <w:pStyle w:val="Listeafsnit"/>
        <w:numPr>
          <w:ilvl w:val="0"/>
          <w:numId w:val="23"/>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Preparing for meetings by producing written assessments of applications in accordance with current guidelines</w:t>
      </w:r>
    </w:p>
    <w:p w14:paraId="6F563E48" w14:textId="77777777" w:rsidR="002C163D" w:rsidRPr="00454DA9" w:rsidRDefault="002C163D" w:rsidP="002C163D">
      <w:pPr>
        <w:pStyle w:val="Listeafsnit"/>
        <w:numPr>
          <w:ilvl w:val="0"/>
          <w:numId w:val="23"/>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Participating in meetings to discuss and qualify assessments and make decisions</w:t>
      </w:r>
    </w:p>
    <w:p w14:paraId="5AA0409F" w14:textId="77777777" w:rsidR="002C163D" w:rsidRPr="00454DA9" w:rsidRDefault="002C163D" w:rsidP="002C163D">
      <w:pPr>
        <w:pStyle w:val="Listeafsnit"/>
        <w:numPr>
          <w:ilvl w:val="0"/>
          <w:numId w:val="23"/>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Drafting individual rejection justifications in collaboration with other members</w:t>
      </w:r>
    </w:p>
    <w:p w14:paraId="50DC0654" w14:textId="77777777" w:rsidR="002C163D" w:rsidRPr="00454DA9" w:rsidRDefault="002C163D" w:rsidP="002C163D">
      <w:pPr>
        <w:pStyle w:val="Listeafsnit"/>
        <w:numPr>
          <w:ilvl w:val="0"/>
          <w:numId w:val="23"/>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Reviewing and weighing evaluations from external reviewers and any consultation responses</w:t>
      </w:r>
    </w:p>
    <w:p w14:paraId="23EB93F1" w14:textId="77777777" w:rsidR="002C163D" w:rsidRPr="00454DA9" w:rsidRDefault="002C163D" w:rsidP="002C163D">
      <w:pPr>
        <w:pStyle w:val="Listeafsnit"/>
        <w:numPr>
          <w:ilvl w:val="0"/>
          <w:numId w:val="23"/>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Reviewing notes with formal and administrative remarks from the Secretariat</w:t>
      </w:r>
    </w:p>
    <w:p w14:paraId="1F974CB6" w14:textId="77777777" w:rsidR="002C163D" w:rsidRPr="00454DA9" w:rsidRDefault="002C163D" w:rsidP="002C163D">
      <w:pPr>
        <w:pStyle w:val="Listeafsnit"/>
        <w:numPr>
          <w:ilvl w:val="0"/>
          <w:numId w:val="23"/>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Participating in training and onboarding processes to ensure proper assessment practices, compliance, and procedures</w:t>
      </w:r>
    </w:p>
    <w:p w14:paraId="0A669286" w14:textId="77777777" w:rsidR="002C163D" w:rsidRPr="00454DA9" w:rsidRDefault="002C163D" w:rsidP="002C163D">
      <w:pPr>
        <w:pStyle w:val="Listeafsnit"/>
        <w:numPr>
          <w:ilvl w:val="0"/>
          <w:numId w:val="23"/>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Elaborating on assessments upon request in case of appeals</w:t>
      </w:r>
    </w:p>
    <w:p w14:paraId="1C0FDF32" w14:textId="77777777" w:rsidR="002C163D" w:rsidRPr="00454DA9" w:rsidRDefault="002C163D" w:rsidP="002C163D">
      <w:pPr>
        <w:pStyle w:val="Listeafsnit"/>
        <w:numPr>
          <w:ilvl w:val="0"/>
          <w:numId w:val="23"/>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Contributing to follow-up decisions during the investment agreement phase</w:t>
      </w:r>
    </w:p>
    <w:p w14:paraId="27F243B4" w14:textId="77777777" w:rsidR="002C163D" w:rsidRPr="00454DA9" w:rsidRDefault="002C163D" w:rsidP="002C163D">
      <w:pPr>
        <w:pStyle w:val="Listeafsnit"/>
        <w:numPr>
          <w:ilvl w:val="0"/>
          <w:numId w:val="23"/>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Providing input to support updates to strategy, calls, and guidelines</w:t>
      </w:r>
    </w:p>
    <w:p w14:paraId="141C0F42" w14:textId="77777777" w:rsidR="002C163D" w:rsidRPr="00454DA9" w:rsidRDefault="002C163D" w:rsidP="002C163D">
      <w:pPr>
        <w:pStyle w:val="Listeafsnit"/>
        <w:numPr>
          <w:ilvl w:val="0"/>
          <w:numId w:val="23"/>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Assisting with oversight processes upon request</w:t>
      </w:r>
    </w:p>
    <w:p w14:paraId="757C6F64" w14:textId="77777777" w:rsidR="002C163D" w:rsidRPr="00454DA9" w:rsidRDefault="002C163D" w:rsidP="002C163D">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In addition, the Chair and Vice-Chair are expected to:</w:t>
      </w:r>
    </w:p>
    <w:p w14:paraId="41CA40FF" w14:textId="77777777" w:rsidR="002C163D" w:rsidRPr="00454DA9" w:rsidRDefault="002C163D" w:rsidP="002C163D">
      <w:pPr>
        <w:pStyle w:val="Listeafsnit"/>
        <w:numPr>
          <w:ilvl w:val="0"/>
          <w:numId w:val="24"/>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Allocate applications for written assessment among members</w:t>
      </w:r>
    </w:p>
    <w:p w14:paraId="072C3F3F" w14:textId="77777777" w:rsidR="002C163D" w:rsidRPr="00454DA9" w:rsidRDefault="002C163D" w:rsidP="002C163D">
      <w:pPr>
        <w:pStyle w:val="Listeafsnit"/>
        <w:numPr>
          <w:ilvl w:val="0"/>
          <w:numId w:val="24"/>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Assign applications to external reviewers</w:t>
      </w:r>
    </w:p>
    <w:p w14:paraId="478307BD" w14:textId="77777777" w:rsidR="002C163D" w:rsidRPr="00454DA9" w:rsidRDefault="002C163D" w:rsidP="002C163D">
      <w:pPr>
        <w:pStyle w:val="Listeafsnit"/>
        <w:numPr>
          <w:ilvl w:val="0"/>
          <w:numId w:val="24"/>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Participate in status and dialogue meetings with the Board and Secretariat</w:t>
      </w:r>
    </w:p>
    <w:p w14:paraId="08CCABD0" w14:textId="77777777" w:rsidR="002C163D" w:rsidRPr="00454DA9" w:rsidRDefault="002C163D" w:rsidP="002C163D">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Chair is further responsible for:</w:t>
      </w:r>
    </w:p>
    <w:p w14:paraId="2EE80F59" w14:textId="77777777" w:rsidR="002C163D" w:rsidRPr="00454DA9" w:rsidRDefault="002C163D" w:rsidP="002C163D">
      <w:pPr>
        <w:pStyle w:val="Listeafsnit"/>
        <w:numPr>
          <w:ilvl w:val="0"/>
          <w:numId w:val="24"/>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Leading meetings and ensuring minutes are recorded</w:t>
      </w:r>
    </w:p>
    <w:p w14:paraId="17A1996F" w14:textId="77777777" w:rsidR="002C163D" w:rsidRPr="00454DA9" w:rsidRDefault="002C163D" w:rsidP="002C163D">
      <w:pPr>
        <w:pStyle w:val="Listeafsnit"/>
        <w:numPr>
          <w:ilvl w:val="0"/>
          <w:numId w:val="24"/>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Quality-assuring rejection justifications</w:t>
      </w:r>
    </w:p>
    <w:p w14:paraId="2D87F178" w14:textId="77777777" w:rsidR="002C163D" w:rsidRPr="00454DA9" w:rsidRDefault="002C163D" w:rsidP="002C163D">
      <w:pPr>
        <w:pStyle w:val="Listeafsnit"/>
        <w:numPr>
          <w:ilvl w:val="0"/>
          <w:numId w:val="24"/>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Handling conflicts of interest (impartiality) matters</w:t>
      </w:r>
    </w:p>
    <w:p w14:paraId="534760A2" w14:textId="77777777" w:rsidR="002C163D" w:rsidRPr="00454DA9" w:rsidRDefault="002C163D" w:rsidP="002C163D">
      <w:pPr>
        <w:pStyle w:val="Listeafsnit"/>
        <w:numPr>
          <w:ilvl w:val="0"/>
          <w:numId w:val="24"/>
        </w:num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Assessing whether the Committee’s composition reflects the Themes and identifying competency gaps</w:t>
      </w:r>
    </w:p>
    <w:p w14:paraId="74531119" w14:textId="77777777" w:rsidR="002C163D" w:rsidRPr="00454DA9" w:rsidRDefault="002C163D" w:rsidP="002C163D">
      <w:pPr>
        <w:spacing w:line="276" w:lineRule="auto"/>
        <w:rPr>
          <w:rFonts w:ascii="Calibri" w:hAnsi="Calibri" w:cs="Calibri"/>
          <w:color w:val="003741" w:themeColor="text1"/>
          <w:sz w:val="20"/>
          <w:szCs w:val="20"/>
          <w:lang w:val="en-GB"/>
        </w:rPr>
      </w:pPr>
      <w:r w:rsidRPr="00454DA9">
        <w:rPr>
          <w:rFonts w:ascii="Calibri" w:hAnsi="Calibri" w:cs="Calibri"/>
          <w:color w:val="003741" w:themeColor="text1"/>
          <w:sz w:val="20"/>
          <w:szCs w:val="20"/>
          <w:lang w:val="en-GB"/>
        </w:rPr>
        <w:t>The Vice-Chair assumes the Chair’s responsibilities in case of absence.</w:t>
      </w:r>
    </w:p>
    <w:p w14:paraId="4F1B9263" w14:textId="73713413" w:rsidR="00F74BC4" w:rsidRDefault="00F74BC4" w:rsidP="002C163D">
      <w:pPr>
        <w:pStyle w:val="Overskrift2"/>
      </w:pPr>
      <w:r w:rsidRPr="00F74BC4">
        <w:t>Assessment process</w:t>
      </w:r>
    </w:p>
    <w:p w14:paraId="36F6B01D" w14:textId="77777777" w:rsidR="002C163D" w:rsidRPr="00E46B92" w:rsidRDefault="002C163D" w:rsidP="002C163D">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The overall assessment process is set out in the applicable guidelines for the Grand Solutions programme in force at any given time. Only applications that meet the formal eligibility requirements are considered by the Committee. The Committee is responsible for conducting the professional assessments and for making funding decisions.</w:t>
      </w:r>
    </w:p>
    <w:p w14:paraId="30CF12B7" w14:textId="77777777" w:rsidR="002C163D" w:rsidRPr="00E46B92" w:rsidRDefault="002C163D" w:rsidP="002C163D">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For each call on which the Committee is to decide, the assessment is conducted in two phases in accordance with the applicable Grand Solutions guidelines. In the first phase, the Committee determines which applicants are to be invited to submit a full application for assessment in the second phase. In the second phase, the Committee decides which Grand Solutions projects are to receive funding. In both phases, supplementary external expert reviews and related consultation procedures may be included, facilitated by the Fund’s Secretariat.</w:t>
      </w:r>
    </w:p>
    <w:p w14:paraId="130DC994" w14:textId="77777777" w:rsidR="002C163D" w:rsidRPr="00E46B92" w:rsidRDefault="002C163D" w:rsidP="002C163D">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With the assistance of the Secretariat, the Chairmanship assigns individual applications for written pre-assessment to a number of members determined by the Chairmanship. These assessments are prepared in accordance with the applicable instructions for the Committee and the Grand Solutions programme guidelines.</w:t>
      </w:r>
    </w:p>
    <w:p w14:paraId="12FAF71A" w14:textId="77777777" w:rsidR="002C163D" w:rsidRPr="00E46B92" w:rsidRDefault="002C163D" w:rsidP="002C163D">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At Committee meetings, all applications are reviewed and prioritised. Any assessments provided by external reviewers, as well as consultation responses received in connection with such reviews, are also considered and weighed as part of the decision-making process. The Secretariat subsequently prepares a record of decisions, which is submitted to the Committee for approval.</w:t>
      </w:r>
    </w:p>
    <w:p w14:paraId="40E66D19" w14:textId="77777777" w:rsidR="002C163D" w:rsidRPr="00217BB2" w:rsidRDefault="002C163D" w:rsidP="002C163D">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GB"/>
        </w:rPr>
        <w:lastRenderedPageBreak/>
        <w:t xml:space="preserve">At the Committee’s request, the Secretariat assists with the preparation and practical organisation of meetings. Secretariat staff attend Committee meetings to provide advice and ensure compliance with the programme guidelines and relevant legislation but do not take part in the professional assessments. </w:t>
      </w:r>
      <w:r w:rsidRPr="00217BB2">
        <w:rPr>
          <w:rFonts w:ascii="Calibri" w:hAnsi="Calibri" w:cs="Calibri"/>
          <w:color w:val="003741" w:themeColor="text1"/>
          <w:sz w:val="20"/>
          <w:szCs w:val="20"/>
          <w:lang w:val="en-GB"/>
        </w:rPr>
        <w:t>Meetings are generally chaired by the Chair.</w:t>
      </w:r>
    </w:p>
    <w:p w14:paraId="62F42AF3" w14:textId="77777777" w:rsidR="002C163D" w:rsidRPr="00E46B92" w:rsidRDefault="002C163D" w:rsidP="002C163D">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The Committee constitutes a quorum when at least half of its members are present.</w:t>
      </w:r>
    </w:p>
    <w:p w14:paraId="4C20A86F" w14:textId="77777777" w:rsidR="002C163D" w:rsidRPr="00E46B92" w:rsidRDefault="002C163D" w:rsidP="002C163D">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One or more members of the Board may, at the Board’s request, attend Committee meetings as observers, including for the purpose of ensuring dialogue and providing input in relation to the Board’s decisions on the allocation of funding, cf. Section 27(7) of the Board’s rules of procedure.</w:t>
      </w:r>
    </w:p>
    <w:p w14:paraId="1BEA8357" w14:textId="77777777" w:rsidR="002C163D" w:rsidRPr="00E46B92" w:rsidRDefault="002C163D" w:rsidP="002C163D">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The Committee’s assessments and decisions must be documented in written statements of reasons, enabling the Fund to assess both formally and substantively the basis for the Committee’s decisions. The Committee must also ensure that the statements of reasons meet the requirements of administrative law, thereby enabling the Fund to issue legally sound decisions to applicants.</w:t>
      </w:r>
    </w:p>
    <w:p w14:paraId="0EBD725B" w14:textId="77777777" w:rsidR="002C163D" w:rsidRPr="00E46B92" w:rsidRDefault="002C163D" w:rsidP="002C163D">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The Committee shall seek to reach consensus and, to the greatest extent possible, work towards agreement in its decisions on both rejections and grants. In the event of disagreement, decisions are made by vote, with each member present having one vote. In the event of a tie, the Chair—or, in the Chair’s absence, the Vice-Chair—has the casting vote. Once the Committee has made a funding decision and communicated it to the Secretariat, responsibility for implementation and follow-up is transferred to the Secretariat.</w:t>
      </w:r>
    </w:p>
    <w:p w14:paraId="14D8C70E" w14:textId="77777777" w:rsidR="002C163D" w:rsidRDefault="002C163D" w:rsidP="002C163D">
      <w:pPr>
        <w:spacing w:line="276" w:lineRule="auto"/>
        <w:rPr>
          <w:rFonts w:ascii="Calibri" w:hAnsi="Calibri" w:cs="Calibri"/>
          <w:color w:val="003741" w:themeColor="text1"/>
          <w:sz w:val="20"/>
          <w:szCs w:val="20"/>
          <w:lang w:val="en-GB"/>
        </w:rPr>
      </w:pPr>
      <w:r w:rsidRPr="00E46B92">
        <w:rPr>
          <w:rFonts w:ascii="Calibri" w:hAnsi="Calibri" w:cs="Calibri"/>
          <w:color w:val="003741" w:themeColor="text1"/>
          <w:sz w:val="20"/>
          <w:szCs w:val="20"/>
          <w:lang w:val="en-GB"/>
        </w:rPr>
        <w:t>If, prior to the conclusion of an investment agreement, an applicant requests material changes to an application that has not been rejected, the Secretariat may submit the request to the Committee for assessment. In such cases, the Committee must assess the amended application in its entirety, including its continued eligibility for funding.</w:t>
      </w:r>
    </w:p>
    <w:p w14:paraId="5B592E30" w14:textId="20ED712C" w:rsidR="002C163D" w:rsidRPr="002C163D" w:rsidRDefault="002C163D" w:rsidP="002C163D">
      <w:pPr>
        <w:pStyle w:val="Overskrift2"/>
      </w:pPr>
      <w:r w:rsidRPr="002C163D">
        <w:t>Confidentiality</w:t>
      </w:r>
    </w:p>
    <w:p w14:paraId="074DD9EF" w14:textId="77777777" w:rsidR="002C163D" w:rsidRDefault="002C163D" w:rsidP="002C163D">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US"/>
        </w:rPr>
        <w:t>Members of the Committee are subject to a duty of confidentiality pursuant to the Danish Administrat</w:t>
      </w:r>
      <w:r>
        <w:rPr>
          <w:rFonts w:ascii="Calibri" w:hAnsi="Calibri" w:cs="Calibri"/>
          <w:color w:val="003741" w:themeColor="text1"/>
          <w:sz w:val="20"/>
          <w:szCs w:val="20"/>
          <w:lang w:val="en-US"/>
        </w:rPr>
        <w:t>ive Law</w:t>
      </w:r>
      <w:r w:rsidRPr="00E46B92">
        <w:rPr>
          <w:rFonts w:ascii="Calibri" w:hAnsi="Calibri" w:cs="Calibri"/>
          <w:color w:val="003741" w:themeColor="text1"/>
          <w:sz w:val="20"/>
          <w:szCs w:val="20"/>
          <w:lang w:val="en-US"/>
        </w:rPr>
        <w:t xml:space="preserve"> and the Danish Criminal </w:t>
      </w:r>
      <w:r>
        <w:rPr>
          <w:rFonts w:ascii="Calibri" w:hAnsi="Calibri" w:cs="Calibri"/>
          <w:color w:val="003741" w:themeColor="text1"/>
          <w:sz w:val="20"/>
          <w:szCs w:val="20"/>
          <w:lang w:val="en-US"/>
        </w:rPr>
        <w:t>Law</w:t>
      </w:r>
      <w:r w:rsidRPr="00E46B92">
        <w:rPr>
          <w:rFonts w:ascii="Calibri" w:hAnsi="Calibri" w:cs="Calibri"/>
          <w:color w:val="003741" w:themeColor="text1"/>
          <w:sz w:val="20"/>
          <w:szCs w:val="20"/>
          <w:lang w:val="en-US"/>
        </w:rPr>
        <w:t xml:space="preserve"> with regard to any information they obtain in their capacity as members of the Committee.</w:t>
      </w:r>
    </w:p>
    <w:p w14:paraId="50AE47EA" w14:textId="1B3AF65C" w:rsidR="002C163D" w:rsidRPr="00E46B92" w:rsidRDefault="002C163D" w:rsidP="002C163D">
      <w:pPr>
        <w:pStyle w:val="Overskrift2"/>
      </w:pPr>
      <w:r w:rsidRPr="00E46B92">
        <w:t>Conflict of Interest</w:t>
      </w:r>
    </w:p>
    <w:p w14:paraId="4909CEA6" w14:textId="77777777" w:rsidR="002C163D" w:rsidRPr="00E46B92" w:rsidRDefault="002C163D" w:rsidP="002C163D">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US"/>
        </w:rPr>
        <w:t>In their work for the Fund, members of the Committee are subject to the general rules and principles of administrative law concerning impartiality, as well as the supplementary conflict-of-interest rules published on the Fund’s website.</w:t>
      </w:r>
    </w:p>
    <w:p w14:paraId="18498CB3" w14:textId="77777777" w:rsidR="002C163D" w:rsidRPr="00E46B92" w:rsidRDefault="002C163D" w:rsidP="002C163D">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US"/>
        </w:rPr>
        <w:t>If, during the consideration of a matter, a member identifies circumstances that may give rise to doubt as to their impartiality, the member must notify the Chair and the Fund’s Secretariat and immediately withdraw from the handling of the matter. With assistance from the Secretariat, the Chair assesses the potential conflict-of-interest issues, and the matter is then submitted to the Committee, which makes the final determination regarding the member’s impartiality. If a member is found to have a conflict of interest, they may not resume or participate in the Committee’s consideration of the specific application.</w:t>
      </w:r>
    </w:p>
    <w:p w14:paraId="58A77310" w14:textId="77777777" w:rsidR="002C163D" w:rsidRDefault="002C163D" w:rsidP="002C163D">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US"/>
        </w:rPr>
        <w:t>The Chair must ensure that the issue of impartiality, including its reasoning and conclusion, is recorded in the minutes, and that a new member is appointed to assess the application where relevant. Where warranted by the proper handling of the case, the Chair may provisionally exclude the member in question from the consideration of the specific application and, where appropriate, replace them with another member within the above framework, without awaiting the Committee’s final decision.</w:t>
      </w:r>
    </w:p>
    <w:p w14:paraId="2AF603F5" w14:textId="42B61FA1" w:rsidR="002C163D" w:rsidRPr="002C163D" w:rsidRDefault="002C163D" w:rsidP="002C163D">
      <w:pPr>
        <w:pStyle w:val="Overskrift2"/>
      </w:pPr>
      <w:r w:rsidRPr="002C163D">
        <w:lastRenderedPageBreak/>
        <w:t>Entry into Force</w:t>
      </w:r>
    </w:p>
    <w:p w14:paraId="18A3749E" w14:textId="4DC032D3" w:rsidR="00D72EBE" w:rsidRPr="002C163D" w:rsidRDefault="002C163D" w:rsidP="002C163D">
      <w:pPr>
        <w:spacing w:line="276" w:lineRule="auto"/>
        <w:rPr>
          <w:rFonts w:ascii="Calibri" w:hAnsi="Calibri" w:cs="Calibri"/>
          <w:color w:val="003741" w:themeColor="text1"/>
          <w:sz w:val="20"/>
          <w:szCs w:val="20"/>
          <w:lang w:val="en-US"/>
        </w:rPr>
      </w:pPr>
      <w:r w:rsidRPr="00E46B92">
        <w:rPr>
          <w:rFonts w:ascii="Calibri" w:hAnsi="Calibri" w:cs="Calibri"/>
          <w:color w:val="003741" w:themeColor="text1"/>
          <w:sz w:val="20"/>
          <w:szCs w:val="20"/>
          <w:lang w:val="en-US"/>
        </w:rPr>
        <w:t>All members of the Committee receive a copy of these Terms of Reference. These Terms of Reference enter into force on 26 February 2026. The Board may amend the Terms of Reference at any time.</w:t>
      </w:r>
    </w:p>
    <w:sectPr w:rsidR="00D72EBE" w:rsidRPr="002C163D" w:rsidSect="00D56D0B">
      <w:headerReference w:type="default" r:id="rId7"/>
      <w:footerReference w:type="default" r:id="rId8"/>
      <w:headerReference w:type="first" r:id="rId9"/>
      <w:footerReference w:type="first" r:id="rId10"/>
      <w:pgSz w:w="11906" w:h="16838" w:code="9"/>
      <w:pgMar w:top="1916" w:right="849" w:bottom="1701" w:left="1588" w:header="510" w:footer="53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2F9EB" w14:textId="77777777" w:rsidR="0046370B" w:rsidRDefault="0046370B" w:rsidP="009E4B94">
      <w:pPr>
        <w:spacing w:line="240" w:lineRule="auto"/>
      </w:pPr>
      <w:r>
        <w:separator/>
      </w:r>
    </w:p>
  </w:endnote>
  <w:endnote w:type="continuationSeparator" w:id="0">
    <w:p w14:paraId="3F9C1E12" w14:textId="77777777" w:rsidR="0046370B" w:rsidRDefault="0046370B"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7432" w14:textId="77777777" w:rsidR="00681D83" w:rsidRPr="00681D83" w:rsidRDefault="00DE43A2" w:rsidP="00DE43A2">
    <w:pPr>
      <w:pStyle w:val="Sidefod"/>
      <w:tabs>
        <w:tab w:val="clear" w:pos="4819"/>
        <w:tab w:val="clear" w:pos="9638"/>
      </w:tabs>
    </w:pPr>
    <w:r>
      <w:rPr>
        <w:noProof/>
        <w:lang w:eastAsia="da-DK"/>
      </w:rPr>
      <mc:AlternateContent>
        <mc:Choice Requires="wps">
          <w:drawing>
            <wp:anchor distT="0" distB="0" distL="114300" distR="114300" simplePos="0" relativeHeight="251673600" behindDoc="0" locked="0" layoutInCell="1" allowOverlap="1" wp14:anchorId="7BD22B2B" wp14:editId="48CEFF11">
              <wp:simplePos x="0" y="0"/>
              <wp:positionH relativeFrom="page">
                <wp:align>right</wp:align>
              </wp:positionH>
              <wp:positionV relativeFrom="page">
                <wp:align>bottom</wp:align>
              </wp:positionV>
              <wp:extent cx="1400400" cy="581025"/>
              <wp:effectExtent l="0" t="0" r="0" b="0"/>
              <wp:wrapNone/>
              <wp:docPr id="21" name="PageNo"/>
              <wp:cNvGraphicFramePr/>
              <a:graphic xmlns:a="http://schemas.openxmlformats.org/drawingml/2006/main">
                <a:graphicData uri="http://schemas.microsoft.com/office/word/2010/wordprocessingShape">
                  <wps:wsp>
                    <wps:cNvSpPr txBox="1"/>
                    <wps:spPr>
                      <a:xfrm>
                        <a:off x="0" y="0"/>
                        <a:ext cx="140040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2CFB73" w14:textId="77777777" w:rsidR="00DE43A2" w:rsidRPr="00CA72E9" w:rsidRDefault="00DE43A2" w:rsidP="00062142">
                          <w:pPr>
                            <w:jc w:val="right"/>
                            <w:rPr>
                              <w:rFonts w:cs="Arial"/>
                              <w:sz w:val="16"/>
                              <w:szCs w:val="16"/>
                            </w:rPr>
                          </w:pPr>
                          <w:r w:rsidRPr="00CA72E9">
                            <w:rPr>
                              <w:rFonts w:cs="Arial"/>
                              <w:sz w:val="16"/>
                              <w:szCs w:val="16"/>
                            </w:rPr>
                            <w:fldChar w:fldCharType="begin"/>
                          </w:r>
                          <w:r w:rsidRPr="00CA72E9">
                            <w:rPr>
                              <w:rFonts w:cs="Arial"/>
                              <w:sz w:val="16"/>
                              <w:szCs w:val="16"/>
                            </w:rPr>
                            <w:instrText xml:space="preserve"> PAGE  </w:instrText>
                          </w:r>
                          <w:r w:rsidRPr="00CA72E9">
                            <w:rPr>
                              <w:rFonts w:cs="Arial"/>
                              <w:sz w:val="16"/>
                              <w:szCs w:val="16"/>
                            </w:rPr>
                            <w:fldChar w:fldCharType="separate"/>
                          </w:r>
                          <w:r w:rsidR="0086071B">
                            <w:rPr>
                              <w:rFonts w:cs="Arial"/>
                              <w:noProof/>
                              <w:sz w:val="16"/>
                              <w:szCs w:val="16"/>
                            </w:rPr>
                            <w:t>2</w:t>
                          </w:r>
                          <w:r w:rsidRPr="00CA72E9">
                            <w:rPr>
                              <w:rFonts w:cs="Arial"/>
                              <w:sz w:val="16"/>
                              <w:szCs w:val="16"/>
                            </w:rPr>
                            <w:fldChar w:fldCharType="end"/>
                          </w:r>
                        </w:p>
                      </w:txbxContent>
                    </wps:txbx>
                    <wps:bodyPr rot="0" spcFirstLastPara="0" vertOverflow="overflow" horzOverflow="overflow" vert="horz" wrap="square" lIns="0" tIns="0" rIns="489600" bIns="324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BD22B2B" id="_x0000_t202" coordsize="21600,21600" o:spt="202" path="m,l,21600r21600,l21600,xe">
              <v:stroke joinstyle="miter"/>
              <v:path gradientshapeok="t" o:connecttype="rect"/>
            </v:shapetype>
            <v:shape id="PageNo" o:spid="_x0000_s1026" type="#_x0000_t202" style="position:absolute;margin-left:59.05pt;margin-top:0;width:110.25pt;height:45.75pt;z-index:25167360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" filled="f" stroked="f" strokeweight=".5pt">
              <v:textbox style="mso-fit-shape-to-text:t" inset="0,0,13.6mm,9mm">
                <w:txbxContent>
                  <w:p w14:paraId="182CFB73" w14:textId="77777777" w:rsidR="00DE43A2" w:rsidRPr="00CA72E9" w:rsidRDefault="00DE43A2" w:rsidP="00062142">
                    <w:pPr>
                      <w:jc w:val="right"/>
                      <w:rPr>
                        <w:rFonts w:cs="Arial"/>
                        <w:sz w:val="16"/>
                        <w:szCs w:val="16"/>
                      </w:rPr>
                    </w:pPr>
                    <w:r w:rsidRPr="00CA72E9">
                      <w:rPr>
                        <w:rFonts w:cs="Arial"/>
                        <w:sz w:val="16"/>
                        <w:szCs w:val="16"/>
                      </w:rPr>
                      <w:fldChar w:fldCharType="begin"/>
                    </w:r>
                    <w:r w:rsidRPr="00CA72E9">
                      <w:rPr>
                        <w:rFonts w:cs="Arial"/>
                        <w:sz w:val="16"/>
                        <w:szCs w:val="16"/>
                      </w:rPr>
                      <w:instrText xml:space="preserve"> PAGE  </w:instrText>
                    </w:r>
                    <w:r w:rsidRPr="00CA72E9">
                      <w:rPr>
                        <w:rFonts w:cs="Arial"/>
                        <w:sz w:val="16"/>
                        <w:szCs w:val="16"/>
                      </w:rPr>
                      <w:fldChar w:fldCharType="separate"/>
                    </w:r>
                    <w:r w:rsidR="0086071B">
                      <w:rPr>
                        <w:rFonts w:cs="Arial"/>
                        <w:noProof/>
                        <w:sz w:val="16"/>
                        <w:szCs w:val="16"/>
                      </w:rPr>
                      <w:t>2</w:t>
                    </w:r>
                    <w:r w:rsidRPr="00CA72E9">
                      <w:rPr>
                        <w:rFonts w:cs="Arial"/>
                        <w:sz w:val="16"/>
                        <w:szCs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8"/>
      <w:gridCol w:w="3206"/>
      <w:gridCol w:w="1945"/>
      <w:gridCol w:w="2090"/>
    </w:tblGrid>
    <w:tr w:rsidR="00D56D0B" w:rsidRPr="00EA6FBC" w14:paraId="4D1C9A83" w14:textId="77777777" w:rsidTr="000B2ED8">
      <w:tc>
        <w:tcPr>
          <w:tcW w:w="2263" w:type="dxa"/>
        </w:tcPr>
        <w:p w14:paraId="514E7311" w14:textId="77777777" w:rsidR="00D56D0B" w:rsidRPr="00EA6FBC" w:rsidRDefault="00FC676B" w:rsidP="00D56D0B">
          <w:pPr>
            <w:rPr>
              <w:rFonts w:cs="Arial"/>
              <w:sz w:val="16"/>
              <w:szCs w:val="16"/>
            </w:rPr>
          </w:pPr>
          <w:r>
            <w:rPr>
              <w:rFonts w:cs="Arial"/>
              <w:sz w:val="16"/>
              <w:szCs w:val="16"/>
            </w:rPr>
            <w:t>Innovation Fund Denmark</w:t>
          </w:r>
        </w:p>
        <w:p w14:paraId="49A12945" w14:textId="77777777" w:rsidR="00D56D0B" w:rsidRPr="00EA6FBC" w:rsidRDefault="00D56D0B" w:rsidP="00237513">
          <w:pPr>
            <w:rPr>
              <w:rFonts w:cs="Arial"/>
              <w:sz w:val="16"/>
              <w:szCs w:val="16"/>
            </w:rPr>
          </w:pPr>
        </w:p>
      </w:tc>
      <w:tc>
        <w:tcPr>
          <w:tcW w:w="3261" w:type="dxa"/>
        </w:tcPr>
        <w:p w14:paraId="46B90A97" w14:textId="77777777" w:rsidR="00D56D0B" w:rsidRPr="00EA6FBC" w:rsidRDefault="00952BF6" w:rsidP="00D56D0B">
          <w:pPr>
            <w:rPr>
              <w:rFonts w:cs="Arial"/>
              <w:sz w:val="16"/>
              <w:szCs w:val="16"/>
            </w:rPr>
          </w:pPr>
          <w:r w:rsidRPr="00952BF6">
            <w:rPr>
              <w:rFonts w:cs="Arial"/>
              <w:sz w:val="16"/>
              <w:szCs w:val="16"/>
            </w:rPr>
            <w:t>Kalkværksvej 16</w:t>
          </w:r>
          <w:r w:rsidR="00900B93">
            <w:rPr>
              <w:rFonts w:cs="Arial"/>
              <w:sz w:val="16"/>
              <w:szCs w:val="16"/>
            </w:rPr>
            <w:t>,</w:t>
          </w:r>
          <w:r w:rsidR="007C06EF">
            <w:rPr>
              <w:rFonts w:cs="Arial"/>
              <w:sz w:val="16"/>
              <w:szCs w:val="16"/>
            </w:rPr>
            <w:t xml:space="preserve"> 7</w:t>
          </w:r>
          <w:r>
            <w:rPr>
              <w:rFonts w:cs="Arial"/>
              <w:sz w:val="16"/>
              <w:szCs w:val="16"/>
            </w:rPr>
            <w:br/>
          </w:r>
          <w:r w:rsidR="00900B93">
            <w:rPr>
              <w:rFonts w:cs="Arial"/>
              <w:sz w:val="16"/>
              <w:szCs w:val="16"/>
            </w:rPr>
            <w:t>DK-8000 Aa</w:t>
          </w:r>
          <w:r w:rsidR="00900B93" w:rsidRPr="00900B93">
            <w:rPr>
              <w:rFonts w:cs="Arial"/>
              <w:sz w:val="16"/>
              <w:szCs w:val="16"/>
            </w:rPr>
            <w:t>rhus</w:t>
          </w:r>
        </w:p>
      </w:tc>
      <w:tc>
        <w:tcPr>
          <w:tcW w:w="1984" w:type="dxa"/>
        </w:tcPr>
        <w:p w14:paraId="43D82A7B" w14:textId="77777777" w:rsidR="00D56D0B" w:rsidRPr="00EA6FBC" w:rsidRDefault="00D56D0B" w:rsidP="00D56D0B">
          <w:pPr>
            <w:rPr>
              <w:rFonts w:cs="Arial"/>
              <w:sz w:val="16"/>
              <w:szCs w:val="16"/>
            </w:rPr>
          </w:pPr>
        </w:p>
      </w:tc>
      <w:tc>
        <w:tcPr>
          <w:tcW w:w="2120" w:type="dxa"/>
        </w:tcPr>
        <w:p w14:paraId="56E2928A" w14:textId="77777777" w:rsidR="00D56D0B" w:rsidRPr="00EA6FBC" w:rsidRDefault="00D56D0B" w:rsidP="00D56D0B">
          <w:pPr>
            <w:jc w:val="right"/>
            <w:rPr>
              <w:rFonts w:cs="Arial"/>
              <w:sz w:val="16"/>
              <w:szCs w:val="16"/>
            </w:rPr>
          </w:pPr>
          <w:r w:rsidRPr="00EA6FBC">
            <w:rPr>
              <w:rFonts w:cs="Arial"/>
              <w:sz w:val="16"/>
              <w:szCs w:val="16"/>
            </w:rPr>
            <w:t>Innovationsfonden.dk</w:t>
          </w:r>
        </w:p>
      </w:tc>
    </w:tr>
  </w:tbl>
  <w:p w14:paraId="5D608062" w14:textId="77777777" w:rsidR="00D56D0B" w:rsidRPr="00D56D0B" w:rsidRDefault="00D56D0B" w:rsidP="00D56D0B">
    <w:pPr>
      <w:pStyle w:val="Sidefod"/>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3F3FA" w14:textId="77777777" w:rsidR="0046370B" w:rsidRDefault="0046370B" w:rsidP="009E4B94">
      <w:pPr>
        <w:spacing w:line="240" w:lineRule="auto"/>
      </w:pPr>
      <w:r>
        <w:separator/>
      </w:r>
    </w:p>
  </w:footnote>
  <w:footnote w:type="continuationSeparator" w:id="0">
    <w:p w14:paraId="51E115D9" w14:textId="77777777" w:rsidR="0046370B" w:rsidRDefault="0046370B" w:rsidP="009E4B94">
      <w:pPr>
        <w:spacing w:line="240" w:lineRule="auto"/>
      </w:pPr>
      <w:r>
        <w:continuationSeparator/>
      </w:r>
    </w:p>
  </w:footnote>
  <w:footnote w:id="1">
    <w:p w14:paraId="3E3A66E8" w14:textId="77777777" w:rsidR="002C163D" w:rsidRPr="0076341B" w:rsidRDefault="002C163D" w:rsidP="002C163D">
      <w:pPr>
        <w:pStyle w:val="Fodnotetekst"/>
        <w:rPr>
          <w:rFonts w:ascii="Calibri" w:hAnsi="Calibri" w:cs="Calibri"/>
          <w:lang w:val="en-US"/>
        </w:rPr>
      </w:pPr>
      <w:r w:rsidRPr="0076341B">
        <w:rPr>
          <w:rStyle w:val="Fodnotehenvisning"/>
          <w:rFonts w:ascii="Calibri" w:hAnsi="Calibri" w:cs="Calibri"/>
          <w:color w:val="003741" w:themeColor="text1"/>
          <w:sz w:val="18"/>
          <w:szCs w:val="24"/>
        </w:rPr>
        <w:footnoteRef/>
      </w:r>
      <w:r w:rsidRPr="0076341B">
        <w:rPr>
          <w:rFonts w:ascii="Calibri" w:hAnsi="Calibri" w:cs="Calibri"/>
          <w:color w:val="003741" w:themeColor="text1"/>
          <w:sz w:val="18"/>
          <w:szCs w:val="24"/>
          <w:lang w:val="en-US"/>
        </w:rPr>
        <w:t xml:space="preserve"> This is intended as an invitation to enter into an investment agreement.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822A" w14:textId="77777777" w:rsidR="00CA72E9" w:rsidRDefault="0086071B" w:rsidP="00CA72E9">
    <w:pPr>
      <w:pStyle w:val="Sidehoved"/>
    </w:pPr>
    <w:r>
      <w:rPr>
        <w:noProof/>
        <w:lang w:eastAsia="da-DK"/>
      </w:rPr>
      <w:drawing>
        <wp:anchor distT="0" distB="0" distL="114300" distR="114300" simplePos="0" relativeHeight="251672575" behindDoc="0" locked="0" layoutInCell="1" allowOverlap="1" wp14:anchorId="1AA2920D" wp14:editId="69C9BFDB">
          <wp:simplePos x="0" y="0"/>
          <wp:positionH relativeFrom="margin">
            <wp:posOffset>3208655</wp:posOffset>
          </wp:positionH>
          <wp:positionV relativeFrom="paragraph">
            <wp:posOffset>95250</wp:posOffset>
          </wp:positionV>
          <wp:extent cx="2804663" cy="309600"/>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4663" cy="309600"/>
                  </a:xfrm>
                  <a:prstGeom prst="rect">
                    <a:avLst/>
                  </a:prstGeom>
                </pic:spPr>
              </pic:pic>
            </a:graphicData>
          </a:graphic>
          <wp14:sizeRelH relativeFrom="margin">
            <wp14:pctWidth>0</wp14:pctWidth>
          </wp14:sizeRelH>
          <wp14:sizeRelV relativeFrom="margin">
            <wp14:pctHeight>0</wp14:pctHeight>
          </wp14:sizeRelV>
        </wp:anchor>
      </w:drawing>
    </w:r>
  </w:p>
  <w:p w14:paraId="4F3D5C8C" w14:textId="77777777" w:rsidR="00CA72E9" w:rsidRDefault="00CA72E9" w:rsidP="00CA72E9">
    <w:pPr>
      <w:pStyle w:val="Sidehoved"/>
    </w:pPr>
  </w:p>
  <w:p w14:paraId="00145828" w14:textId="77777777" w:rsidR="00CA72E9" w:rsidRDefault="00CA72E9" w:rsidP="00CA72E9">
    <w:pPr>
      <w:pStyle w:val="Sidehoved"/>
    </w:pPr>
  </w:p>
  <w:p w14:paraId="27869C39" w14:textId="77777777" w:rsidR="00CA72E9" w:rsidRDefault="00CA72E9" w:rsidP="00CA72E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34469" w14:textId="77777777" w:rsidR="0086071B" w:rsidRDefault="0086071B" w:rsidP="0086071B">
    <w:pPr>
      <w:pStyle w:val="Sidehoved"/>
    </w:pPr>
    <w:r>
      <w:rPr>
        <w:noProof/>
        <w:lang w:eastAsia="da-DK"/>
      </w:rPr>
      <w:drawing>
        <wp:anchor distT="0" distB="0" distL="114300" distR="114300" simplePos="0" relativeHeight="251685888" behindDoc="0" locked="0" layoutInCell="1" allowOverlap="1" wp14:anchorId="481BFF20" wp14:editId="75174131">
          <wp:simplePos x="0" y="0"/>
          <wp:positionH relativeFrom="margin">
            <wp:posOffset>3208655</wp:posOffset>
          </wp:positionH>
          <wp:positionV relativeFrom="paragraph">
            <wp:posOffset>95250</wp:posOffset>
          </wp:positionV>
          <wp:extent cx="2804663" cy="309600"/>
          <wp:effectExtent l="0" t="0" r="0" b="0"/>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4663" cy="309600"/>
                  </a:xfrm>
                  <a:prstGeom prst="rect">
                    <a:avLst/>
                  </a:prstGeom>
                </pic:spPr>
              </pic:pic>
            </a:graphicData>
          </a:graphic>
          <wp14:sizeRelH relativeFrom="margin">
            <wp14:pctWidth>0</wp14:pctWidth>
          </wp14:sizeRelH>
          <wp14:sizeRelV relativeFrom="margin">
            <wp14:pctHeight>0</wp14:pctHeight>
          </wp14:sizeRelV>
        </wp:anchor>
      </w:drawing>
    </w:r>
  </w:p>
  <w:p w14:paraId="264428DE" w14:textId="77777777" w:rsidR="0086071B" w:rsidRDefault="0086071B" w:rsidP="0086071B">
    <w:pPr>
      <w:pStyle w:val="Sidehoved"/>
    </w:pPr>
  </w:p>
  <w:p w14:paraId="1FE09362" w14:textId="77777777" w:rsidR="0086071B" w:rsidRDefault="0086071B" w:rsidP="0086071B">
    <w:pPr>
      <w:pStyle w:val="Sidehoved"/>
    </w:pPr>
  </w:p>
  <w:p w14:paraId="0582DC10" w14:textId="77777777" w:rsidR="0086071B" w:rsidRDefault="0086071B" w:rsidP="0086071B">
    <w:pPr>
      <w:pStyle w:val="Sidehoved"/>
    </w:pPr>
  </w:p>
  <w:p w14:paraId="084113E7" w14:textId="77777777" w:rsidR="008F4D20" w:rsidRDefault="008F4D20" w:rsidP="0086071B">
    <w:pPr>
      <w:pStyle w:val="Sidehoved"/>
    </w:pPr>
  </w:p>
  <w:p w14:paraId="43A54056" w14:textId="77777777" w:rsidR="0086071B" w:rsidRDefault="0086071B" w:rsidP="0086071B">
    <w:pPr>
      <w:pStyle w:val="Sidehoved"/>
    </w:pPr>
  </w:p>
  <w:p w14:paraId="35A1FEA8" w14:textId="77777777" w:rsidR="0086071B" w:rsidRPr="0086071B" w:rsidRDefault="0086071B" w:rsidP="0086071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E8D56C9"/>
    <w:multiLevelType w:val="hybridMultilevel"/>
    <w:tmpl w:val="44FCD832"/>
    <w:lvl w:ilvl="0" w:tplc="13701B14">
      <w:start w:val="1"/>
      <w:numFmt w:val="lowerRoman"/>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0FAA2DC3"/>
    <w:multiLevelType w:val="hybridMultilevel"/>
    <w:tmpl w:val="AA3A152A"/>
    <w:lvl w:ilvl="0" w:tplc="04060013">
      <w:start w:val="1"/>
      <w:numFmt w:val="upperRoman"/>
      <w:lvlText w:val="%1."/>
      <w:lvlJc w:val="right"/>
      <w:pPr>
        <w:ind w:left="766" w:hanging="360"/>
      </w:pPr>
    </w:lvl>
    <w:lvl w:ilvl="1" w:tplc="04060019" w:tentative="1">
      <w:start w:val="1"/>
      <w:numFmt w:val="lowerLetter"/>
      <w:lvlText w:val="%2."/>
      <w:lvlJc w:val="left"/>
      <w:pPr>
        <w:ind w:left="1486" w:hanging="360"/>
      </w:pPr>
    </w:lvl>
    <w:lvl w:ilvl="2" w:tplc="0406001B" w:tentative="1">
      <w:start w:val="1"/>
      <w:numFmt w:val="lowerRoman"/>
      <w:lvlText w:val="%3."/>
      <w:lvlJc w:val="right"/>
      <w:pPr>
        <w:ind w:left="2206" w:hanging="180"/>
      </w:pPr>
    </w:lvl>
    <w:lvl w:ilvl="3" w:tplc="0406000F" w:tentative="1">
      <w:start w:val="1"/>
      <w:numFmt w:val="decimal"/>
      <w:lvlText w:val="%4."/>
      <w:lvlJc w:val="left"/>
      <w:pPr>
        <w:ind w:left="2926" w:hanging="360"/>
      </w:pPr>
    </w:lvl>
    <w:lvl w:ilvl="4" w:tplc="04060019" w:tentative="1">
      <w:start w:val="1"/>
      <w:numFmt w:val="lowerLetter"/>
      <w:lvlText w:val="%5."/>
      <w:lvlJc w:val="left"/>
      <w:pPr>
        <w:ind w:left="3646" w:hanging="360"/>
      </w:pPr>
    </w:lvl>
    <w:lvl w:ilvl="5" w:tplc="0406001B" w:tentative="1">
      <w:start w:val="1"/>
      <w:numFmt w:val="lowerRoman"/>
      <w:lvlText w:val="%6."/>
      <w:lvlJc w:val="right"/>
      <w:pPr>
        <w:ind w:left="4366" w:hanging="180"/>
      </w:pPr>
    </w:lvl>
    <w:lvl w:ilvl="6" w:tplc="0406000F" w:tentative="1">
      <w:start w:val="1"/>
      <w:numFmt w:val="decimal"/>
      <w:lvlText w:val="%7."/>
      <w:lvlJc w:val="left"/>
      <w:pPr>
        <w:ind w:left="5086" w:hanging="360"/>
      </w:pPr>
    </w:lvl>
    <w:lvl w:ilvl="7" w:tplc="04060019" w:tentative="1">
      <w:start w:val="1"/>
      <w:numFmt w:val="lowerLetter"/>
      <w:lvlText w:val="%8."/>
      <w:lvlJc w:val="left"/>
      <w:pPr>
        <w:ind w:left="5806" w:hanging="360"/>
      </w:pPr>
    </w:lvl>
    <w:lvl w:ilvl="8" w:tplc="0406001B" w:tentative="1">
      <w:start w:val="1"/>
      <w:numFmt w:val="lowerRoman"/>
      <w:lvlText w:val="%9."/>
      <w:lvlJc w:val="right"/>
      <w:pPr>
        <w:ind w:left="6526" w:hanging="180"/>
      </w:pPr>
    </w:lvl>
  </w:abstractNum>
  <w:abstractNum w:abstractNumId="11" w15:restartNumberingAfterBreak="0">
    <w:nsid w:val="1B552F34"/>
    <w:multiLevelType w:val="hybridMultilevel"/>
    <w:tmpl w:val="F98C068E"/>
    <w:lvl w:ilvl="0" w:tplc="29805A48">
      <w:start w:val="1"/>
      <w:numFmt w:val="upp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58C35A8"/>
    <w:multiLevelType w:val="hybridMultilevel"/>
    <w:tmpl w:val="1FF432EA"/>
    <w:lvl w:ilvl="0" w:tplc="0406000F">
      <w:start w:val="7"/>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67A5D46"/>
    <w:multiLevelType w:val="hybridMultilevel"/>
    <w:tmpl w:val="33F80C5A"/>
    <w:lvl w:ilvl="0" w:tplc="04060013">
      <w:start w:val="1"/>
      <w:numFmt w:val="upp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B5C7462"/>
    <w:multiLevelType w:val="hybridMultilevel"/>
    <w:tmpl w:val="59C6616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CFD0969"/>
    <w:multiLevelType w:val="hybridMultilevel"/>
    <w:tmpl w:val="63BC794C"/>
    <w:lvl w:ilvl="0" w:tplc="78DC0B50">
      <w:start w:val="1"/>
      <w:numFmt w:val="decimal"/>
      <w:pStyle w:val="Overskrift2"/>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43C7776D"/>
    <w:multiLevelType w:val="hybridMultilevel"/>
    <w:tmpl w:val="AF107FB8"/>
    <w:lvl w:ilvl="0" w:tplc="04060013">
      <w:start w:val="1"/>
      <w:numFmt w:val="upperRoman"/>
      <w:lvlText w:val="%1."/>
      <w:lvlJc w:val="right"/>
      <w:pPr>
        <w:ind w:left="766" w:hanging="360"/>
      </w:pPr>
    </w:lvl>
    <w:lvl w:ilvl="1" w:tplc="04060019" w:tentative="1">
      <w:start w:val="1"/>
      <w:numFmt w:val="lowerLetter"/>
      <w:lvlText w:val="%2."/>
      <w:lvlJc w:val="left"/>
      <w:pPr>
        <w:ind w:left="1486" w:hanging="360"/>
      </w:pPr>
    </w:lvl>
    <w:lvl w:ilvl="2" w:tplc="0406001B" w:tentative="1">
      <w:start w:val="1"/>
      <w:numFmt w:val="lowerRoman"/>
      <w:lvlText w:val="%3."/>
      <w:lvlJc w:val="right"/>
      <w:pPr>
        <w:ind w:left="2206" w:hanging="180"/>
      </w:pPr>
    </w:lvl>
    <w:lvl w:ilvl="3" w:tplc="0406000F" w:tentative="1">
      <w:start w:val="1"/>
      <w:numFmt w:val="decimal"/>
      <w:lvlText w:val="%4."/>
      <w:lvlJc w:val="left"/>
      <w:pPr>
        <w:ind w:left="2926" w:hanging="360"/>
      </w:pPr>
    </w:lvl>
    <w:lvl w:ilvl="4" w:tplc="04060019" w:tentative="1">
      <w:start w:val="1"/>
      <w:numFmt w:val="lowerLetter"/>
      <w:lvlText w:val="%5."/>
      <w:lvlJc w:val="left"/>
      <w:pPr>
        <w:ind w:left="3646" w:hanging="360"/>
      </w:pPr>
    </w:lvl>
    <w:lvl w:ilvl="5" w:tplc="0406001B" w:tentative="1">
      <w:start w:val="1"/>
      <w:numFmt w:val="lowerRoman"/>
      <w:lvlText w:val="%6."/>
      <w:lvlJc w:val="right"/>
      <w:pPr>
        <w:ind w:left="4366" w:hanging="180"/>
      </w:pPr>
    </w:lvl>
    <w:lvl w:ilvl="6" w:tplc="0406000F" w:tentative="1">
      <w:start w:val="1"/>
      <w:numFmt w:val="decimal"/>
      <w:lvlText w:val="%7."/>
      <w:lvlJc w:val="left"/>
      <w:pPr>
        <w:ind w:left="5086" w:hanging="360"/>
      </w:pPr>
    </w:lvl>
    <w:lvl w:ilvl="7" w:tplc="04060019" w:tentative="1">
      <w:start w:val="1"/>
      <w:numFmt w:val="lowerLetter"/>
      <w:lvlText w:val="%8."/>
      <w:lvlJc w:val="left"/>
      <w:pPr>
        <w:ind w:left="5806" w:hanging="360"/>
      </w:pPr>
    </w:lvl>
    <w:lvl w:ilvl="8" w:tplc="0406001B" w:tentative="1">
      <w:start w:val="1"/>
      <w:numFmt w:val="lowerRoman"/>
      <w:lvlText w:val="%9."/>
      <w:lvlJc w:val="right"/>
      <w:pPr>
        <w:ind w:left="6526" w:hanging="180"/>
      </w:pPr>
    </w:lvl>
  </w:abstractNum>
  <w:abstractNum w:abstractNumId="17" w15:restartNumberingAfterBreak="0">
    <w:nsid w:val="48E535B0"/>
    <w:multiLevelType w:val="hybridMultilevel"/>
    <w:tmpl w:val="B69C287C"/>
    <w:lvl w:ilvl="0" w:tplc="0406001B">
      <w:start w:val="1"/>
      <w:numFmt w:val="low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491854AB"/>
    <w:multiLevelType w:val="hybridMultilevel"/>
    <w:tmpl w:val="D57EB99A"/>
    <w:lvl w:ilvl="0" w:tplc="0406001B">
      <w:start w:val="1"/>
      <w:numFmt w:val="lowerRoman"/>
      <w:lvlText w:val="%1."/>
      <w:lvlJc w:val="righ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0C55246"/>
    <w:multiLevelType w:val="hybridMultilevel"/>
    <w:tmpl w:val="13DADE5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14B25A5"/>
    <w:multiLevelType w:val="hybridMultilevel"/>
    <w:tmpl w:val="D786DB5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786225D1"/>
    <w:multiLevelType w:val="hybridMultilevel"/>
    <w:tmpl w:val="16FC035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7A295A2B"/>
    <w:multiLevelType w:val="multilevel"/>
    <w:tmpl w:val="74E26696"/>
    <w:lvl w:ilvl="0">
      <w:start w:val="1"/>
      <w:numFmt w:val="bullet"/>
      <w:lvlRestart w:val="0"/>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23"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4"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24"/>
  </w:num>
  <w:num w:numId="2">
    <w:abstractNumId w:val="7"/>
  </w:num>
  <w:num w:numId="3">
    <w:abstractNumId w:val="6"/>
  </w:num>
  <w:num w:numId="4">
    <w:abstractNumId w:val="5"/>
  </w:num>
  <w:num w:numId="5">
    <w:abstractNumId w:val="4"/>
  </w:num>
  <w:num w:numId="6">
    <w:abstractNumId w:val="23"/>
  </w:num>
  <w:num w:numId="7">
    <w:abstractNumId w:val="3"/>
  </w:num>
  <w:num w:numId="8">
    <w:abstractNumId w:val="2"/>
  </w:num>
  <w:num w:numId="9">
    <w:abstractNumId w:val="1"/>
  </w:num>
  <w:num w:numId="10">
    <w:abstractNumId w:val="0"/>
  </w:num>
  <w:num w:numId="11">
    <w:abstractNumId w:val="8"/>
  </w:num>
  <w:num w:numId="12">
    <w:abstractNumId w:val="23"/>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22"/>
  </w:num>
  <w:num w:numId="14">
    <w:abstractNumId w:val="21"/>
  </w:num>
  <w:num w:numId="15">
    <w:abstractNumId w:val="11"/>
  </w:num>
  <w:num w:numId="16">
    <w:abstractNumId w:val="16"/>
  </w:num>
  <w:num w:numId="17">
    <w:abstractNumId w:val="13"/>
  </w:num>
  <w:num w:numId="18">
    <w:abstractNumId w:val="10"/>
  </w:num>
  <w:num w:numId="19">
    <w:abstractNumId w:val="14"/>
  </w:num>
  <w:num w:numId="20">
    <w:abstractNumId w:val="17"/>
  </w:num>
  <w:num w:numId="21">
    <w:abstractNumId w:val="18"/>
  </w:num>
  <w:num w:numId="22">
    <w:abstractNumId w:val="15"/>
  </w:num>
  <w:num w:numId="23">
    <w:abstractNumId w:val="19"/>
  </w:num>
  <w:num w:numId="24">
    <w:abstractNumId w:val="9"/>
  </w:num>
  <w:num w:numId="25">
    <w:abstractNumId w:val="2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DE0"/>
    <w:rsid w:val="00004865"/>
    <w:rsid w:val="0004348E"/>
    <w:rsid w:val="00062142"/>
    <w:rsid w:val="00076709"/>
    <w:rsid w:val="00094ABD"/>
    <w:rsid w:val="000A5D0F"/>
    <w:rsid w:val="000B3B75"/>
    <w:rsid w:val="000D1178"/>
    <w:rsid w:val="000D58C0"/>
    <w:rsid w:val="0013244F"/>
    <w:rsid w:val="00141823"/>
    <w:rsid w:val="00182651"/>
    <w:rsid w:val="001C081E"/>
    <w:rsid w:val="001D511A"/>
    <w:rsid w:val="001F3842"/>
    <w:rsid w:val="001F5DE0"/>
    <w:rsid w:val="00237513"/>
    <w:rsid w:val="00244D70"/>
    <w:rsid w:val="00261042"/>
    <w:rsid w:val="0029514D"/>
    <w:rsid w:val="002A04A0"/>
    <w:rsid w:val="002C0089"/>
    <w:rsid w:val="002C163D"/>
    <w:rsid w:val="002C5934"/>
    <w:rsid w:val="002E74A4"/>
    <w:rsid w:val="0034424E"/>
    <w:rsid w:val="00371105"/>
    <w:rsid w:val="00372A1A"/>
    <w:rsid w:val="0039061B"/>
    <w:rsid w:val="003A0EF7"/>
    <w:rsid w:val="003B35B0"/>
    <w:rsid w:val="003C4F9F"/>
    <w:rsid w:val="003C60F1"/>
    <w:rsid w:val="00424709"/>
    <w:rsid w:val="00424AD9"/>
    <w:rsid w:val="00434215"/>
    <w:rsid w:val="00435160"/>
    <w:rsid w:val="0046370B"/>
    <w:rsid w:val="004854E1"/>
    <w:rsid w:val="004911EE"/>
    <w:rsid w:val="004C01B2"/>
    <w:rsid w:val="004C4CE0"/>
    <w:rsid w:val="005002DC"/>
    <w:rsid w:val="00517312"/>
    <w:rsid w:val="00575CDA"/>
    <w:rsid w:val="005824A5"/>
    <w:rsid w:val="00593BD7"/>
    <w:rsid w:val="005A28D4"/>
    <w:rsid w:val="005B7F94"/>
    <w:rsid w:val="005C5F97"/>
    <w:rsid w:val="005E1144"/>
    <w:rsid w:val="005E7729"/>
    <w:rsid w:val="005F1580"/>
    <w:rsid w:val="005F3ED8"/>
    <w:rsid w:val="00603B19"/>
    <w:rsid w:val="00626926"/>
    <w:rsid w:val="00655B49"/>
    <w:rsid w:val="00681D83"/>
    <w:rsid w:val="006832A2"/>
    <w:rsid w:val="006900C2"/>
    <w:rsid w:val="00696608"/>
    <w:rsid w:val="006A3347"/>
    <w:rsid w:val="006A6545"/>
    <w:rsid w:val="006B30A9"/>
    <w:rsid w:val="006B6C4C"/>
    <w:rsid w:val="0070267E"/>
    <w:rsid w:val="00706E32"/>
    <w:rsid w:val="00750134"/>
    <w:rsid w:val="00753668"/>
    <w:rsid w:val="007546AF"/>
    <w:rsid w:val="007624B4"/>
    <w:rsid w:val="00765934"/>
    <w:rsid w:val="007C06EF"/>
    <w:rsid w:val="007E0A30"/>
    <w:rsid w:val="007E1D69"/>
    <w:rsid w:val="007E373C"/>
    <w:rsid w:val="007F0CD1"/>
    <w:rsid w:val="008059B9"/>
    <w:rsid w:val="008477D8"/>
    <w:rsid w:val="0086071B"/>
    <w:rsid w:val="00876448"/>
    <w:rsid w:val="00892D08"/>
    <w:rsid w:val="00893791"/>
    <w:rsid w:val="008E5A6D"/>
    <w:rsid w:val="008F32DF"/>
    <w:rsid w:val="008F3560"/>
    <w:rsid w:val="008F4D20"/>
    <w:rsid w:val="00900B93"/>
    <w:rsid w:val="009273CC"/>
    <w:rsid w:val="00951B25"/>
    <w:rsid w:val="00952BF6"/>
    <w:rsid w:val="00953A3F"/>
    <w:rsid w:val="00963818"/>
    <w:rsid w:val="009737E4"/>
    <w:rsid w:val="00983B74"/>
    <w:rsid w:val="00990263"/>
    <w:rsid w:val="009A4CCC"/>
    <w:rsid w:val="009A529B"/>
    <w:rsid w:val="009B430C"/>
    <w:rsid w:val="009D45B1"/>
    <w:rsid w:val="009E4B94"/>
    <w:rsid w:val="009F1B4D"/>
    <w:rsid w:val="00A3674F"/>
    <w:rsid w:val="00A623B6"/>
    <w:rsid w:val="00A713E2"/>
    <w:rsid w:val="00A942F8"/>
    <w:rsid w:val="00AB4582"/>
    <w:rsid w:val="00AE30E6"/>
    <w:rsid w:val="00AF01CA"/>
    <w:rsid w:val="00AF096D"/>
    <w:rsid w:val="00AF1D02"/>
    <w:rsid w:val="00B00D92"/>
    <w:rsid w:val="00B32FD2"/>
    <w:rsid w:val="00B44DD4"/>
    <w:rsid w:val="00B557F9"/>
    <w:rsid w:val="00B745C7"/>
    <w:rsid w:val="00B750EA"/>
    <w:rsid w:val="00BB02CB"/>
    <w:rsid w:val="00BB4255"/>
    <w:rsid w:val="00BC19DD"/>
    <w:rsid w:val="00BC39B6"/>
    <w:rsid w:val="00BE34E8"/>
    <w:rsid w:val="00BE5FEB"/>
    <w:rsid w:val="00BF51B0"/>
    <w:rsid w:val="00C02658"/>
    <w:rsid w:val="00C02CEC"/>
    <w:rsid w:val="00C07DA4"/>
    <w:rsid w:val="00C14063"/>
    <w:rsid w:val="00C321CF"/>
    <w:rsid w:val="00C57B73"/>
    <w:rsid w:val="00C62CEA"/>
    <w:rsid w:val="00C6709A"/>
    <w:rsid w:val="00C90F1A"/>
    <w:rsid w:val="00CA72E9"/>
    <w:rsid w:val="00CC6322"/>
    <w:rsid w:val="00CD4373"/>
    <w:rsid w:val="00D073A8"/>
    <w:rsid w:val="00D07B1C"/>
    <w:rsid w:val="00D15C3E"/>
    <w:rsid w:val="00D27D0E"/>
    <w:rsid w:val="00D56D0B"/>
    <w:rsid w:val="00D609AB"/>
    <w:rsid w:val="00D64BF4"/>
    <w:rsid w:val="00D72EBE"/>
    <w:rsid w:val="00D96141"/>
    <w:rsid w:val="00DB0B37"/>
    <w:rsid w:val="00DB31AF"/>
    <w:rsid w:val="00DC1DE3"/>
    <w:rsid w:val="00DC61BD"/>
    <w:rsid w:val="00DD40C9"/>
    <w:rsid w:val="00DE2B28"/>
    <w:rsid w:val="00DE43A2"/>
    <w:rsid w:val="00E021AE"/>
    <w:rsid w:val="00E72B54"/>
    <w:rsid w:val="00E738FA"/>
    <w:rsid w:val="00F146FA"/>
    <w:rsid w:val="00F22460"/>
    <w:rsid w:val="00F74BC4"/>
    <w:rsid w:val="00F93D37"/>
    <w:rsid w:val="00FC421A"/>
    <w:rsid w:val="00FC676B"/>
    <w:rsid w:val="00FE2C9C"/>
    <w:rsid w:val="00FF10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906573"/>
  <w15:docId w15:val="{05E4B759-2589-4921-B01C-E138E6D2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1"/>
        <w:szCs w:val="21"/>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0EA"/>
    <w:pPr>
      <w:spacing w:after="160" w:line="256" w:lineRule="auto"/>
    </w:pPr>
    <w:rPr>
      <w:rFonts w:asciiTheme="minorHAnsi" w:hAnsiTheme="minorHAnsi"/>
      <w:sz w:val="22"/>
      <w:szCs w:val="22"/>
    </w:rPr>
  </w:style>
  <w:style w:type="paragraph" w:styleId="Overskrift1">
    <w:name w:val="heading 1"/>
    <w:basedOn w:val="Normal"/>
    <w:next w:val="Normal"/>
    <w:link w:val="Overskrift1Tegn"/>
    <w:uiPriority w:val="1"/>
    <w:qFormat/>
    <w:rsid w:val="00AE30E6"/>
    <w:pPr>
      <w:keepNext/>
      <w:keepLines/>
      <w:spacing w:after="240"/>
      <w:contextualSpacing/>
      <w:outlineLvl w:val="0"/>
    </w:pPr>
    <w:rPr>
      <w:rFonts w:eastAsiaTheme="majorEastAsia" w:cstheme="majorBidi"/>
      <w:b/>
      <w:bCs/>
      <w:color w:val="1E4148"/>
      <w:sz w:val="30"/>
      <w:szCs w:val="28"/>
    </w:rPr>
  </w:style>
  <w:style w:type="paragraph" w:styleId="Overskrift2">
    <w:name w:val="heading 2"/>
    <w:basedOn w:val="Normal"/>
    <w:next w:val="Normal"/>
    <w:link w:val="Overskrift2Tegn"/>
    <w:uiPriority w:val="1"/>
    <w:qFormat/>
    <w:rsid w:val="007F0CD1"/>
    <w:pPr>
      <w:keepNext/>
      <w:keepLines/>
      <w:numPr>
        <w:numId w:val="22"/>
      </w:numPr>
      <w:spacing w:before="260"/>
      <w:contextualSpacing/>
      <w:outlineLvl w:val="1"/>
    </w:pPr>
    <w:rPr>
      <w:rFonts w:ascii="Calibri" w:eastAsiaTheme="majorEastAsia" w:hAnsi="Calibri" w:cs="Calibri"/>
      <w:b/>
      <w:bCs/>
      <w:color w:val="003741" w:themeColor="text1"/>
      <w:sz w:val="24"/>
      <w:szCs w:val="28"/>
      <w:lang w:val="en-GB"/>
    </w:rPr>
  </w:style>
  <w:style w:type="paragraph" w:styleId="Overskrift3">
    <w:name w:val="heading 3"/>
    <w:basedOn w:val="Normal"/>
    <w:next w:val="Normal"/>
    <w:link w:val="Overskrift3Tegn"/>
    <w:uiPriority w:val="1"/>
    <w:rsid w:val="00C57B73"/>
    <w:pPr>
      <w:keepNext/>
      <w:keepLines/>
      <w:spacing w:before="2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34424E"/>
    <w:pPr>
      <w:tabs>
        <w:tab w:val="center" w:pos="4819"/>
        <w:tab w:val="right" w:pos="9638"/>
      </w:tabs>
      <w:spacing w:line="240" w:lineRule="atLeast"/>
    </w:pPr>
    <w:rPr>
      <w:sz w:val="17"/>
    </w:rPr>
  </w:style>
  <w:style w:type="character" w:customStyle="1" w:styleId="SidehovedTegn">
    <w:name w:val="Sidehoved Tegn"/>
    <w:basedOn w:val="Standardskrifttypeiafsnit"/>
    <w:link w:val="Sidehoved"/>
    <w:uiPriority w:val="21"/>
    <w:semiHidden/>
    <w:rsid w:val="0034424E"/>
    <w:rPr>
      <w:sz w:val="17"/>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B32FD2"/>
    <w:rPr>
      <w:sz w:val="16"/>
    </w:rPr>
  </w:style>
  <w:style w:type="character" w:customStyle="1" w:styleId="Overskrift1Tegn">
    <w:name w:val="Overskrift 1 Tegn"/>
    <w:basedOn w:val="Standardskrifttypeiafsnit"/>
    <w:link w:val="Overskrift1"/>
    <w:uiPriority w:val="1"/>
    <w:rsid w:val="00AE30E6"/>
    <w:rPr>
      <w:rFonts w:ascii="Arial" w:eastAsiaTheme="majorEastAsia" w:hAnsi="Arial" w:cstheme="majorBidi"/>
      <w:b/>
      <w:bCs/>
      <w:color w:val="1E4148"/>
      <w:sz w:val="30"/>
      <w:szCs w:val="28"/>
    </w:rPr>
  </w:style>
  <w:style w:type="character" w:customStyle="1" w:styleId="Overskrift2Tegn">
    <w:name w:val="Overskrift 2 Tegn"/>
    <w:basedOn w:val="Standardskrifttypeiafsnit"/>
    <w:link w:val="Overskrift2"/>
    <w:uiPriority w:val="1"/>
    <w:rsid w:val="007F0CD1"/>
    <w:rPr>
      <w:rFonts w:eastAsiaTheme="majorEastAsia" w:cs="Calibri"/>
      <w:b/>
      <w:bCs/>
      <w:color w:val="003741" w:themeColor="text1"/>
      <w:sz w:val="24"/>
      <w:szCs w:val="28"/>
      <w:lang w:val="en-GB"/>
    </w:rPr>
  </w:style>
  <w:style w:type="character" w:customStyle="1" w:styleId="Overskrift3Tegn">
    <w:name w:val="Overskrift 3 Tegn"/>
    <w:basedOn w:val="Standardskrifttypeiafsnit"/>
    <w:link w:val="Overskrift3"/>
    <w:uiPriority w:val="1"/>
    <w:rsid w:val="00C57B73"/>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B32FD2"/>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B32FD2"/>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21DCFF"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B32FD2"/>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9"/>
    <w:semiHidden/>
    <w:rsid w:val="0034424E"/>
    <w:pPr>
      <w:spacing w:before="260"/>
      <w:ind w:right="567"/>
    </w:pPr>
    <w:rPr>
      <w:b/>
      <w:sz w:val="24"/>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next w:val="Normal"/>
    <w:uiPriority w:val="9"/>
    <w:semiHidden/>
    <w:rsid w:val="0034424E"/>
    <w:pPr>
      <w:spacing w:after="520" w:line="360" w:lineRule="atLeast"/>
    </w:pPr>
    <w:rPr>
      <w:rFonts w:eastAsiaTheme="majorEastAsia" w:cstheme="majorBidi"/>
      <w:b/>
      <w:bCs/>
      <w:color w:val="00A6AA"/>
      <w:sz w:val="34"/>
      <w:szCs w:val="28"/>
    </w:rPr>
  </w:style>
  <w:style w:type="paragraph" w:styleId="Bloktekst">
    <w:name w:val="Block Text"/>
    <w:basedOn w:val="Normal"/>
    <w:uiPriority w:val="99"/>
    <w:semiHidden/>
    <w:rsid w:val="009E4B94"/>
    <w:pPr>
      <w:pBdr>
        <w:top w:val="single" w:sz="2" w:space="10" w:color="1FDBFF" w:themeColor="text1" w:themeTint="80"/>
        <w:left w:val="single" w:sz="2" w:space="10" w:color="1FDBFF" w:themeColor="text1" w:themeTint="80"/>
        <w:bottom w:val="single" w:sz="2" w:space="10" w:color="1FDBFF" w:themeColor="text1" w:themeTint="80"/>
        <w:right w:val="single" w:sz="2" w:space="10" w:color="1FDBF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4424E"/>
    <w:pPr>
      <w:spacing w:after="120" w:line="240" w:lineRule="atLeast"/>
      <w:ind w:left="85" w:hanging="85"/>
    </w:pPr>
    <w:rPr>
      <w:sz w:val="17"/>
    </w:rPr>
  </w:style>
  <w:style w:type="character" w:customStyle="1" w:styleId="SlutnotetekstTegn">
    <w:name w:val="Slutnotetekst Tegn"/>
    <w:basedOn w:val="Standardskrifttypeiafsnit"/>
    <w:link w:val="Slutnotetekst"/>
    <w:uiPriority w:val="21"/>
    <w:semiHidden/>
    <w:rsid w:val="0034424E"/>
    <w:rPr>
      <w:sz w:val="17"/>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34424E"/>
    <w:pPr>
      <w:spacing w:after="120" w:line="240" w:lineRule="atLeast"/>
      <w:ind w:left="85" w:hanging="85"/>
    </w:pPr>
    <w:rPr>
      <w:sz w:val="17"/>
    </w:rPr>
  </w:style>
  <w:style w:type="character" w:customStyle="1" w:styleId="FodnotetekstTegn">
    <w:name w:val="Fodnotetekst Tegn"/>
    <w:basedOn w:val="Standardskrifttypeiafsnit"/>
    <w:link w:val="Fodnotetekst"/>
    <w:uiPriority w:val="21"/>
    <w:semiHidden/>
    <w:rsid w:val="0034424E"/>
    <w:rPr>
      <w:sz w:val="17"/>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DC1DE3"/>
    <w:rPr>
      <w:rFonts w:ascii="Calibri" w:hAnsi="Calibri"/>
      <w:sz w:val="17"/>
    </w:rPr>
  </w:style>
  <w:style w:type="paragraph" w:customStyle="1" w:styleId="Template">
    <w:name w:val="Template"/>
    <w:uiPriority w:val="8"/>
    <w:semiHidden/>
    <w:rsid w:val="0029514D"/>
    <w:pPr>
      <w:spacing w:line="220" w:lineRule="atLeast"/>
    </w:pPr>
    <w:rPr>
      <w:noProof/>
      <w:sz w:val="14"/>
    </w:rPr>
  </w:style>
  <w:style w:type="paragraph" w:customStyle="1" w:styleId="Template-Adresse">
    <w:name w:val="Template - Adresse"/>
    <w:basedOn w:val="Template"/>
    <w:uiPriority w:val="8"/>
    <w:semiHidden/>
    <w:rsid w:val="0029514D"/>
    <w:pPr>
      <w:tabs>
        <w:tab w:val="left" w:pos="737"/>
      </w:tabs>
      <w:spacing w:line="240" w:lineRule="atLeast"/>
    </w:pPr>
    <w:rPr>
      <w:caps/>
    </w:rPr>
  </w:style>
  <w:style w:type="paragraph" w:customStyle="1" w:styleId="Template-Virksomhedsnavn">
    <w:name w:val="Template - Virksomheds navn"/>
    <w:basedOn w:val="Template-Adresse"/>
    <w:next w:val="Template-Adresse"/>
    <w:uiPriority w:val="8"/>
    <w:semiHidden/>
    <w:rsid w:val="00F93D37"/>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B32FD2"/>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3741" w:themeColor="text1"/>
    </w:rPr>
  </w:style>
  <w:style w:type="character" w:customStyle="1" w:styleId="CitatTegn">
    <w:name w:val="Citat Tegn"/>
    <w:basedOn w:val="Standardskrifttypeiafsnit"/>
    <w:link w:val="Citat"/>
    <w:uiPriority w:val="19"/>
    <w:semiHidden/>
    <w:rsid w:val="00B32FD2"/>
    <w:rPr>
      <w:b/>
      <w:iCs/>
      <w:color w:val="003741" w:themeColor="text1"/>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uiPriority w:val="3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rsid w:val="000A5D0F"/>
    <w:pPr>
      <w:spacing w:after="240"/>
      <w:contextualSpacing/>
    </w:pPr>
    <w:rPr>
      <w:b/>
      <w:color w:val="1E4148"/>
      <w:sz w:val="30"/>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DB0B37"/>
    <w:rPr>
      <w:sz w:val="17"/>
    </w:rPr>
  </w:style>
  <w:style w:type="paragraph" w:customStyle="1" w:styleId="Template-CVRnr">
    <w:name w:val="Template - CVR nr"/>
    <w:basedOn w:val="Template"/>
    <w:uiPriority w:val="8"/>
    <w:semiHidden/>
    <w:rsid w:val="00B745C7"/>
    <w:pPr>
      <w:spacing w:before="80"/>
      <w:contextualSpacing/>
    </w:pPr>
    <w:rPr>
      <w:caps/>
      <w:sz w:val="13"/>
    </w:rPr>
  </w:style>
  <w:style w:type="paragraph" w:customStyle="1" w:styleId="Template-Sagsnr">
    <w:name w:val="Template - Sags nr"/>
    <w:basedOn w:val="Template"/>
    <w:next w:val="Normal"/>
    <w:uiPriority w:val="8"/>
    <w:semiHidden/>
    <w:rsid w:val="00DB0B37"/>
    <w:rPr>
      <w:sz w:val="17"/>
    </w:rPr>
  </w:style>
  <w:style w:type="paragraph" w:customStyle="1" w:styleId="Afsendertitel">
    <w:name w:val="Afsender titel"/>
    <w:basedOn w:val="Normal"/>
    <w:next w:val="Normal"/>
    <w:uiPriority w:val="7"/>
    <w:rsid w:val="0029514D"/>
    <w:rPr>
      <w:i/>
      <w:sz w:val="17"/>
    </w:rPr>
  </w:style>
  <w:style w:type="character" w:styleId="Hyperlink">
    <w:name w:val="Hyperlink"/>
    <w:basedOn w:val="Standardskrifttypeiafsnit"/>
    <w:uiPriority w:val="21"/>
    <w:semiHidden/>
    <w:rsid w:val="00A713E2"/>
    <w:rPr>
      <w:color w:val="003741" w:themeColor="hyperlink"/>
      <w:u w:val="single"/>
    </w:rPr>
  </w:style>
  <w:style w:type="paragraph" w:styleId="Markeringsbobletekst">
    <w:name w:val="Balloon Text"/>
    <w:basedOn w:val="Normal"/>
    <w:link w:val="MarkeringsbobletekstTegn"/>
    <w:uiPriority w:val="99"/>
    <w:semiHidden/>
    <w:rsid w:val="00C02CE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32FD2"/>
    <w:rPr>
      <w:rFonts w:ascii="Tahoma" w:hAnsi="Tahoma" w:cs="Tahoma"/>
      <w:sz w:val="16"/>
      <w:szCs w:val="16"/>
    </w:rPr>
  </w:style>
  <w:style w:type="paragraph" w:styleId="Listeafsnit">
    <w:name w:val="List Paragraph"/>
    <w:basedOn w:val="Normal"/>
    <w:uiPriority w:val="99"/>
    <w:semiHidden/>
    <w:qFormat/>
    <w:rsid w:val="00C14063"/>
    <w:pPr>
      <w:ind w:left="720"/>
      <w:contextualSpacing/>
    </w:pPr>
  </w:style>
  <w:style w:type="paragraph" w:customStyle="1" w:styleId="KolofonOplysninger">
    <w:name w:val="Kolofon Oplysninger"/>
    <w:basedOn w:val="Normal"/>
    <w:uiPriority w:val="9"/>
    <w:semiHidden/>
    <w:rsid w:val="000B3B75"/>
    <w:pPr>
      <w:tabs>
        <w:tab w:val="left" w:pos="397"/>
      </w:tabs>
    </w:pPr>
    <w:rPr>
      <w:noProof/>
      <w:sz w:val="17"/>
    </w:rPr>
  </w:style>
  <w:style w:type="character" w:customStyle="1" w:styleId="Template-Skrstreg">
    <w:name w:val="Template - Skråstreg"/>
    <w:basedOn w:val="Standardskrifttypeiafsnit"/>
    <w:uiPriority w:val="8"/>
    <w:semiHidden/>
    <w:rsid w:val="0029514D"/>
    <w:rPr>
      <w:color w:val="00A6AA"/>
      <w:sz w:val="14"/>
    </w:rPr>
  </w:style>
  <w:style w:type="character" w:customStyle="1" w:styleId="mellemrubrikTegn">
    <w:name w:val="mellemrubrik Tegn"/>
    <w:basedOn w:val="Standardskrifttypeiafsnit"/>
    <w:link w:val="mellemrubrik"/>
    <w:locked/>
    <w:rsid w:val="00B750EA"/>
    <w:rPr>
      <w:rFonts w:ascii="Arial" w:hAnsi="Arial" w:cs="Arial"/>
      <w:b/>
      <w:sz w:val="22"/>
      <w:szCs w:val="22"/>
    </w:rPr>
  </w:style>
  <w:style w:type="paragraph" w:customStyle="1" w:styleId="mellemrubrik">
    <w:name w:val="mellemrubrik"/>
    <w:basedOn w:val="Normal"/>
    <w:link w:val="mellemrubrikTegn"/>
    <w:qFormat/>
    <w:rsid w:val="00B750EA"/>
    <w:rPr>
      <w:rFonts w:ascii="Arial" w:hAnsi="Arial" w:cs="Arial"/>
      <w:b/>
    </w:rPr>
  </w:style>
  <w:style w:type="character" w:styleId="Fodnotehenvisning">
    <w:name w:val="footnote reference"/>
    <w:basedOn w:val="Standardskrifttypeiafsnit"/>
    <w:uiPriority w:val="21"/>
    <w:semiHidden/>
    <w:unhideWhenUsed/>
    <w:rsid w:val="002C16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4941">
      <w:bodyDiv w:val="1"/>
      <w:marLeft w:val="0"/>
      <w:marRight w:val="0"/>
      <w:marTop w:val="0"/>
      <w:marBottom w:val="0"/>
      <w:divBdr>
        <w:top w:val="none" w:sz="0" w:space="0" w:color="auto"/>
        <w:left w:val="none" w:sz="0" w:space="0" w:color="auto"/>
        <w:bottom w:val="none" w:sz="0" w:space="0" w:color="auto"/>
        <w:right w:val="none" w:sz="0" w:space="0" w:color="auto"/>
      </w:divBdr>
    </w:div>
    <w:div w:id="232937352">
      <w:bodyDiv w:val="1"/>
      <w:marLeft w:val="0"/>
      <w:marRight w:val="0"/>
      <w:marTop w:val="0"/>
      <w:marBottom w:val="0"/>
      <w:divBdr>
        <w:top w:val="none" w:sz="0" w:space="0" w:color="auto"/>
        <w:left w:val="none" w:sz="0" w:space="0" w:color="auto"/>
        <w:bottom w:val="none" w:sz="0" w:space="0" w:color="auto"/>
        <w:right w:val="none" w:sz="0" w:space="0" w:color="auto"/>
      </w:divBdr>
    </w:div>
    <w:div w:id="410200330">
      <w:bodyDiv w:val="1"/>
      <w:marLeft w:val="0"/>
      <w:marRight w:val="0"/>
      <w:marTop w:val="0"/>
      <w:marBottom w:val="0"/>
      <w:divBdr>
        <w:top w:val="none" w:sz="0" w:space="0" w:color="auto"/>
        <w:left w:val="none" w:sz="0" w:space="0" w:color="auto"/>
        <w:bottom w:val="none" w:sz="0" w:space="0" w:color="auto"/>
        <w:right w:val="none" w:sz="0" w:space="0" w:color="auto"/>
      </w:divBdr>
    </w:div>
    <w:div w:id="1439060698">
      <w:bodyDiv w:val="1"/>
      <w:marLeft w:val="0"/>
      <w:marRight w:val="0"/>
      <w:marTop w:val="0"/>
      <w:marBottom w:val="0"/>
      <w:divBdr>
        <w:top w:val="none" w:sz="0" w:space="0" w:color="auto"/>
        <w:left w:val="none" w:sz="0" w:space="0" w:color="auto"/>
        <w:bottom w:val="none" w:sz="0" w:space="0" w:color="auto"/>
        <w:right w:val="none" w:sz="0" w:space="0" w:color="auto"/>
      </w:divBdr>
    </w:div>
    <w:div w:id="187907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200430\AppData\Local\cBrain\F2\.tmp\8525397d91584559b2b7d787ebd6f900.dotx" TargetMode="External"/></Relationships>
</file>

<file path=word/theme/theme1.xml><?xml version="1.0" encoding="utf-8"?>
<a:theme xmlns:a="http://schemas.openxmlformats.org/drawingml/2006/main" name="Office Theme">
  <a:themeElements>
    <a:clrScheme name="Innovationsfonden">
      <a:dk1>
        <a:srgbClr val="003741"/>
      </a:dk1>
      <a:lt1>
        <a:srgbClr val="FFFFFF"/>
      </a:lt1>
      <a:dk2>
        <a:srgbClr val="96EBF0"/>
      </a:dk2>
      <a:lt2>
        <a:srgbClr val="87A5A0"/>
      </a:lt2>
      <a:accent1>
        <a:srgbClr val="3CA5F5"/>
      </a:accent1>
      <a:accent2>
        <a:srgbClr val="3CDCA5"/>
      </a:accent2>
      <a:accent3>
        <a:srgbClr val="FFEB78"/>
      </a:accent3>
      <a:accent4>
        <a:srgbClr val="FF6E82"/>
      </a:accent4>
      <a:accent5>
        <a:srgbClr val="AA968C"/>
      </a:accent5>
      <a:accent6>
        <a:srgbClr val="FF734B"/>
      </a:accent6>
      <a:hlink>
        <a:srgbClr val="003741"/>
      </a:hlink>
      <a:folHlink>
        <a:srgbClr val="87A5A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8525397d91584559b2b7d787ebd6f900.dotx</Template>
  <TotalTime>120</TotalTime>
  <Pages>6</Pages>
  <Words>1850</Words>
  <Characters>11289</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Statens IT</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Nadia Aron Piilgaard</dc:creator>
  <cp:lastModifiedBy>Nadia Aron Piilgaard</cp:lastModifiedBy>
  <cp:revision>5</cp:revision>
  <cp:lastPrinted>2014-05-13T08:29:00Z</cp:lastPrinted>
  <dcterms:created xsi:type="dcterms:W3CDTF">2026-04-09T11:19:00Z</dcterms:created>
  <dcterms:modified xsi:type="dcterms:W3CDTF">2026-04-13T08:49:00Z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{74AB55C4-90B0-4557-AB9D-6789E66667B8}</vt:lpwstr>
  </property>
</Properties>
</file>